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3E25CB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„Budowa drogi publicznej</w:t>
      </w:r>
      <w:r w:rsidR="003A539F">
        <w:rPr>
          <w:rFonts w:ascii="Arial" w:hAnsi="Arial" w:cs="Arial"/>
          <w:b/>
          <w:sz w:val="22"/>
          <w:szCs w:val="22"/>
        </w:rPr>
        <w:t xml:space="preserve"> w Piątkach</w:t>
      </w:r>
      <w:r>
        <w:rPr>
          <w:rFonts w:ascii="Arial" w:hAnsi="Arial" w:cs="Arial"/>
          <w:b/>
          <w:sz w:val="22"/>
          <w:szCs w:val="22"/>
        </w:rPr>
        <w:t xml:space="preserve"> wraz z budową skrzyżowania z drogą wojewódzką nr 538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3E25CB" w:rsidRDefault="003E25CB" w:rsidP="003E25CB">
      <w:pPr>
        <w:spacing w:after="200"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współfinansowane jest ze środków  Rządowego Funduszu Rozwoju Dróg 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3E25C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5D5DB1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="00953C7F">
        <w:rPr>
          <w:rFonts w:ascii="Arial" w:hAnsi="Arial" w:cs="Arial"/>
        </w:rPr>
        <w:t>04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E0763D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A51850">
        <w:rPr>
          <w:rFonts w:ascii="Arial" w:hAnsi="Arial" w:cs="Arial"/>
          <w:b/>
        </w:rPr>
        <w:t xml:space="preserve"> 2022</w:t>
      </w:r>
      <w:r w:rsidR="00740BAB" w:rsidRPr="001769FC">
        <w:rPr>
          <w:rFonts w:ascii="Arial" w:hAnsi="Arial" w:cs="Arial"/>
          <w:b/>
        </w:rPr>
        <w:t>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A51850">
        <w:t xml:space="preserve"> </w:t>
      </w:r>
      <w:r w:rsidR="00A51850" w:rsidRPr="00A51850">
        <w:rPr>
          <w:rFonts w:ascii="Arial" w:hAnsi="Arial" w:cs="Arial"/>
          <w:b/>
        </w:rPr>
        <w:t>00109290/01 z dnia 2022-04-05</w:t>
      </w:r>
      <w:r w:rsidR="00A51850">
        <w:rPr>
          <w:rFonts w:ascii="Arial" w:eastAsiaTheme="minorHAnsi" w:hAnsi="Arial" w:cs="Arial"/>
          <w:b/>
          <w:lang w:eastAsia="en-US"/>
        </w:rPr>
        <w:t xml:space="preserve">                   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9B4E52" w:rsidRPr="009B4E52">
        <w:rPr>
          <w:b/>
        </w:rPr>
        <w:t>46ac6661-39ed-4449-8cdf-93dd834b2162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AA04C5">
        <w:rPr>
          <w:rFonts w:ascii="Arial" w:hAnsi="Arial" w:cs="Arial"/>
          <w:b/>
          <w:sz w:val="20"/>
          <w:szCs w:val="20"/>
        </w:rPr>
        <w:t>6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Pr="00F42CBD" w:rsidRDefault="00921977" w:rsidP="00F42CBD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 w:rsidR="00F42CBD"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</w:t>
      </w:r>
      <w:r w:rsidR="00F42CBD" w:rsidRPr="008B77D9">
        <w:rPr>
          <w:rFonts w:ascii="Arial" w:hAnsi="Arial" w:cs="Arial"/>
          <w:sz w:val="20"/>
        </w:rPr>
        <w:t xml:space="preserve">w </w:t>
      </w:r>
      <w:r w:rsidR="00F42CBD">
        <w:rPr>
          <w:rFonts w:ascii="Arial" w:hAnsi="Arial" w:cs="Arial"/>
          <w:sz w:val="20"/>
        </w:rPr>
        <w:t xml:space="preserve">rozumieniu przepisów </w:t>
      </w:r>
      <w:r w:rsidR="00F42CBD" w:rsidRPr="008B77D9">
        <w:rPr>
          <w:rFonts w:ascii="Arial" w:hAnsi="Arial" w:cs="Arial"/>
          <w:sz w:val="20"/>
        </w:rPr>
        <w:t xml:space="preserve"> ustawy z dnia 26 czerwca </w:t>
      </w:r>
      <w:r w:rsidR="00F42CBD"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="008B77D9" w:rsidRPr="00F42CBD">
        <w:rPr>
          <w:rFonts w:ascii="Arial" w:hAnsi="Arial" w:cs="Arial"/>
          <w:sz w:val="20"/>
        </w:rPr>
        <w:t>Obowiązek zatrudnienia na podstawie umowy o pracę nie dotyczy również kierownika budowy, któr</w:t>
      </w:r>
      <w:r w:rsidR="00F42CBD" w:rsidRPr="00F42CBD">
        <w:rPr>
          <w:rFonts w:ascii="Arial" w:hAnsi="Arial" w:cs="Arial"/>
          <w:sz w:val="20"/>
        </w:rPr>
        <w:t>y wykonuje</w:t>
      </w:r>
      <w:r w:rsidR="008B77D9" w:rsidRPr="00F42CBD">
        <w:rPr>
          <w:rFonts w:ascii="Arial" w:hAnsi="Arial" w:cs="Arial"/>
          <w:sz w:val="20"/>
        </w:rPr>
        <w:t xml:space="preserve"> czynności w zakresie realizacji przedmiotu umowy</w:t>
      </w:r>
      <w:r w:rsidR="00C47EDE" w:rsidRPr="00F42CBD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 w:rsidRPr="00F42CBD">
        <w:rPr>
          <w:rFonts w:ascii="Arial" w:hAnsi="Arial" w:cs="Arial"/>
          <w:sz w:val="20"/>
        </w:rPr>
        <w:t>mowy stanowiącym załącznik nr 10</w:t>
      </w:r>
      <w:r w:rsidR="00C47EDE" w:rsidRPr="00F42CBD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E0344E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41796F">
        <w:rPr>
          <w:rFonts w:ascii="Arial" w:hAnsi="Arial" w:cs="Arial"/>
          <w:b/>
          <w:sz w:val="20"/>
          <w:szCs w:val="20"/>
        </w:rPr>
        <w:t>Budowa drogi publicznej</w:t>
      </w:r>
      <w:r w:rsidR="00E10BCC">
        <w:rPr>
          <w:rFonts w:ascii="Arial" w:hAnsi="Arial" w:cs="Arial"/>
          <w:b/>
          <w:sz w:val="20"/>
          <w:szCs w:val="20"/>
        </w:rPr>
        <w:t xml:space="preserve"> w Piątkach</w:t>
      </w:r>
      <w:r w:rsidR="0041796F">
        <w:rPr>
          <w:rFonts w:ascii="Arial" w:hAnsi="Arial" w:cs="Arial"/>
          <w:b/>
          <w:sz w:val="20"/>
          <w:szCs w:val="20"/>
        </w:rPr>
        <w:t xml:space="preserve"> wraz z budową skrzyżowania z drogą wojewódzką nr 538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 w:rsidR="0041796F">
        <w:rPr>
          <w:rFonts w:ascii="Arial" w:hAnsi="Arial" w:cs="Arial"/>
          <w:sz w:val="20"/>
          <w:szCs w:val="20"/>
        </w:rPr>
        <w:t>y budowlane</w:t>
      </w:r>
      <w:r w:rsidR="000C0899">
        <w:rPr>
          <w:rFonts w:ascii="Arial" w:hAnsi="Arial" w:cs="Arial"/>
          <w:sz w:val="20"/>
          <w:szCs w:val="20"/>
        </w:rPr>
        <w:t>, projekt</w:t>
      </w:r>
      <w:r w:rsidR="0041796F">
        <w:rPr>
          <w:rFonts w:ascii="Arial" w:hAnsi="Arial" w:cs="Arial"/>
          <w:sz w:val="20"/>
          <w:szCs w:val="20"/>
        </w:rPr>
        <w:t>y wykonawcze</w:t>
      </w:r>
      <w:r w:rsidR="008372A2">
        <w:rPr>
          <w:rFonts w:ascii="Arial" w:hAnsi="Arial" w:cs="Arial"/>
          <w:sz w:val="20"/>
          <w:szCs w:val="20"/>
        </w:rPr>
        <w:t>,</w:t>
      </w:r>
      <w:r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1796F">
        <w:rPr>
          <w:rFonts w:ascii="Arial" w:hAnsi="Arial" w:cs="Arial"/>
          <w:bCs/>
          <w:sz w:val="20"/>
          <w:szCs w:val="20"/>
          <w:u w:val="single"/>
        </w:rPr>
        <w:t xml:space="preserve">Główny kod CPV: 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45233120-6 </w:t>
      </w:r>
      <w:r w:rsidRPr="0041796F">
        <w:rPr>
          <w:rFonts w:ascii="Arial" w:hAnsi="Arial" w:cs="Arial"/>
          <w:bCs/>
          <w:sz w:val="20"/>
          <w:szCs w:val="20"/>
        </w:rPr>
        <w:t>Roboty w zakresie budowy dróg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45233129-9 </w:t>
      </w:r>
      <w:r w:rsidRPr="0041796F">
        <w:rPr>
          <w:rFonts w:ascii="Arial" w:hAnsi="Arial" w:cs="Arial"/>
          <w:bCs/>
          <w:sz w:val="20"/>
          <w:szCs w:val="20"/>
        </w:rPr>
        <w:t>Roboty budowlane w zakresie skrzyżowań dróg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45233162-2 </w:t>
      </w:r>
      <w:r w:rsidRPr="0041796F">
        <w:rPr>
          <w:rFonts w:ascii="Arial" w:hAnsi="Arial" w:cs="Arial"/>
          <w:bCs/>
          <w:sz w:val="20"/>
          <w:szCs w:val="20"/>
        </w:rPr>
        <w:t>Roboty budowlane w zakresie ścieżek rowerowych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1796F">
        <w:rPr>
          <w:rFonts w:ascii="Arial" w:hAnsi="Arial" w:cs="Arial"/>
          <w:bCs/>
          <w:sz w:val="20"/>
          <w:szCs w:val="20"/>
          <w:u w:val="single"/>
        </w:rPr>
        <w:t xml:space="preserve">Dodatkowe kody CPV:   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796F">
        <w:rPr>
          <w:rFonts w:ascii="Arial" w:hAnsi="Arial" w:cs="Arial"/>
          <w:bCs/>
          <w:sz w:val="20"/>
          <w:szCs w:val="20"/>
        </w:rPr>
        <w:t>45111200-0 Roboty w zakresie przygotowania terenu pod budowę i roboty ziemne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796F">
        <w:rPr>
          <w:rFonts w:ascii="Arial" w:hAnsi="Arial" w:cs="Arial"/>
          <w:bCs/>
          <w:sz w:val="20"/>
          <w:szCs w:val="20"/>
        </w:rPr>
        <w:t>45111100-9 Roboty  zakresie burzenia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796F">
        <w:rPr>
          <w:rFonts w:ascii="Arial" w:hAnsi="Arial" w:cs="Arial"/>
          <w:bCs/>
          <w:sz w:val="20"/>
          <w:szCs w:val="20"/>
        </w:rPr>
        <w:t>45233320-8 Fundamentowanie dróg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796F">
        <w:rPr>
          <w:rFonts w:ascii="Arial" w:hAnsi="Arial" w:cs="Arial"/>
          <w:bCs/>
          <w:sz w:val="20"/>
          <w:szCs w:val="20"/>
        </w:rPr>
        <w:t>45233220-7 Roboty w zakresie nawierzchni dróg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796F">
        <w:rPr>
          <w:rFonts w:ascii="Arial" w:hAnsi="Arial" w:cs="Arial"/>
          <w:bCs/>
          <w:sz w:val="20"/>
          <w:szCs w:val="20"/>
        </w:rPr>
        <w:t>45233290-8 Instalowanie znaków drogowych</w:t>
      </w:r>
    </w:p>
    <w:p w:rsidR="0041796F" w:rsidRPr="0041796F" w:rsidRDefault="0041796F" w:rsidP="0041796F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796F">
        <w:rPr>
          <w:rFonts w:ascii="Arial" w:hAnsi="Arial" w:cs="Arial"/>
          <w:bCs/>
          <w:sz w:val="20"/>
          <w:szCs w:val="20"/>
        </w:rPr>
        <w:t>45233222-1 Roboty w zakresie układania chodników i asfaltowania</w:t>
      </w:r>
    </w:p>
    <w:p w:rsidR="0041796F" w:rsidRPr="00013A14" w:rsidRDefault="0041796F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lastRenderedPageBreak/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2E21E6">
        <w:rPr>
          <w:rFonts w:ascii="Arial" w:hAnsi="Arial" w:cs="Arial"/>
          <w:b/>
          <w:sz w:val="20"/>
        </w:rPr>
        <w:t>4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A540D7">
        <w:rPr>
          <w:rFonts w:ascii="Arial" w:eastAsia="Arial Unicode MS" w:hAnsi="Arial" w:cs="Arial"/>
          <w:b/>
          <w:sz w:val="20"/>
        </w:rPr>
        <w:t>przynajmniej 2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r</w:t>
      </w:r>
      <w:r w:rsidR="00A540D7">
        <w:rPr>
          <w:rFonts w:ascii="Arial" w:eastAsia="Arial Unicode MS" w:hAnsi="Arial" w:cs="Arial"/>
          <w:b/>
          <w:sz w:val="20"/>
        </w:rPr>
        <w:t>oboty budowlane o wartości 2</w:t>
      </w:r>
      <w:r w:rsidR="00463AC1">
        <w:rPr>
          <w:rFonts w:ascii="Arial" w:eastAsia="Arial Unicode MS" w:hAnsi="Arial" w:cs="Arial"/>
          <w:b/>
          <w:sz w:val="20"/>
        </w:rPr>
        <w:t>00 000,00 zł brutto</w:t>
      </w:r>
      <w:r w:rsidR="00A540D7">
        <w:rPr>
          <w:rFonts w:ascii="Arial" w:eastAsia="Arial Unicode MS" w:hAnsi="Arial" w:cs="Arial"/>
          <w:b/>
          <w:sz w:val="20"/>
        </w:rPr>
        <w:t xml:space="preserve"> każda, polegające</w:t>
      </w:r>
      <w:r w:rsidR="00463AC1">
        <w:rPr>
          <w:rFonts w:ascii="Arial" w:eastAsia="Arial Unicode MS" w:hAnsi="Arial" w:cs="Arial"/>
          <w:b/>
          <w:sz w:val="20"/>
        </w:rPr>
        <w:t xml:space="preserve"> </w:t>
      </w:r>
      <w:r w:rsidR="008A6B03">
        <w:rPr>
          <w:rFonts w:ascii="Arial" w:eastAsia="Arial Unicode MS" w:hAnsi="Arial" w:cs="Arial"/>
          <w:b/>
          <w:sz w:val="20"/>
        </w:rPr>
        <w:t>na budowie lub przebudowie dróg</w:t>
      </w:r>
      <w:r w:rsidR="00055676" w:rsidRPr="00055676">
        <w:rPr>
          <w:rFonts w:ascii="Arial" w:eastAsia="Arial Unicode MS" w:hAnsi="Arial" w:cs="Arial"/>
          <w:b/>
          <w:sz w:val="20"/>
        </w:rPr>
        <w:t>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A540D7">
        <w:rPr>
          <w:rFonts w:ascii="Arial" w:eastAsia="Arial Unicode MS" w:hAnsi="Arial" w:cs="Arial"/>
          <w:sz w:val="20"/>
          <w:szCs w:val="20"/>
        </w:rPr>
        <w:t>sponuje osobą, która</w:t>
      </w:r>
      <w:r w:rsidR="009B3D8D">
        <w:rPr>
          <w:rFonts w:ascii="Arial" w:eastAsia="Arial Unicode MS" w:hAnsi="Arial" w:cs="Arial"/>
          <w:sz w:val="20"/>
          <w:szCs w:val="20"/>
        </w:rPr>
        <w:t xml:space="preserve">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7A4AAE" w:rsidRPr="00B015D8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 (Dz. U. z 2020 r., poz. 1333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A12EAC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</w:t>
      </w:r>
      <w:r w:rsidR="008F1B28" w:rsidRPr="00D56E06">
        <w:rPr>
          <w:rFonts w:ascii="Arial" w:hAnsi="Arial" w:cs="Arial"/>
          <w:sz w:val="20"/>
          <w:szCs w:val="20"/>
        </w:rPr>
        <w:lastRenderedPageBreak/>
        <w:t>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 czy 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 xml:space="preserve">oświadczenie podmiotu udostępniającego zasoby, potwierdzające brak </w:t>
      </w:r>
      <w:r w:rsidRPr="000A2785">
        <w:rPr>
          <w:rFonts w:ascii="Arial" w:hAnsi="Arial" w:cs="Arial"/>
          <w:sz w:val="20"/>
          <w:szCs w:val="20"/>
          <w:u w:val="single"/>
        </w:rPr>
        <w:lastRenderedPageBreak/>
        <w:t>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</w:t>
      </w:r>
      <w:r w:rsidRPr="003E2EA0">
        <w:rPr>
          <w:rFonts w:ascii="Arial" w:hAnsi="Arial" w:cs="Arial"/>
          <w:i/>
          <w:sz w:val="20"/>
          <w:szCs w:val="20"/>
        </w:rPr>
        <w:lastRenderedPageBreak/>
        <w:t>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A45D3E" w:rsidRDefault="00A540D7" w:rsidP="00A45D3E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podpisany</w:t>
      </w:r>
      <w:r w:rsidR="00A45D3E">
        <w:rPr>
          <w:rFonts w:ascii="Arial" w:eastAsia="Verdana" w:hAnsi="Arial" w:cs="Arial"/>
          <w:sz w:val="20"/>
          <w:szCs w:val="20"/>
        </w:rPr>
        <w:t xml:space="preserve"> kosztorys</w:t>
      </w:r>
      <w:r>
        <w:rPr>
          <w:rFonts w:ascii="Arial" w:eastAsia="Verdana" w:hAnsi="Arial" w:cs="Arial"/>
          <w:sz w:val="20"/>
          <w:szCs w:val="20"/>
        </w:rPr>
        <w:t xml:space="preserve"> ofertowy</w:t>
      </w:r>
      <w:r w:rsidR="00A45D3E" w:rsidRPr="004F388A">
        <w:rPr>
          <w:rFonts w:ascii="Arial" w:eastAsia="Verdana" w:hAnsi="Arial" w:cs="Arial"/>
          <w:sz w:val="20"/>
          <w:szCs w:val="20"/>
        </w:rPr>
        <w:t xml:space="preserve"> spor</w:t>
      </w:r>
      <w:r>
        <w:rPr>
          <w:rFonts w:ascii="Arial" w:eastAsia="Verdana" w:hAnsi="Arial" w:cs="Arial"/>
          <w:sz w:val="20"/>
          <w:szCs w:val="20"/>
        </w:rPr>
        <w:t>ządzony</w:t>
      </w:r>
      <w:r w:rsidR="007808C6">
        <w:rPr>
          <w:rFonts w:ascii="Arial" w:eastAsia="Verdana" w:hAnsi="Arial" w:cs="Arial"/>
          <w:sz w:val="20"/>
          <w:szCs w:val="20"/>
        </w:rPr>
        <w:t xml:space="preserve"> na podstawie przedstawionego przedmiaru</w:t>
      </w:r>
      <w:r w:rsidR="00A45D3E"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 w:rsidR="00A45D3E">
        <w:rPr>
          <w:rFonts w:ascii="Arial" w:eastAsia="Verdana" w:hAnsi="Arial" w:cs="Arial"/>
          <w:sz w:val="20"/>
          <w:szCs w:val="20"/>
        </w:rPr>
        <w:t xml:space="preserve">iące załączniki nr </w:t>
      </w:r>
      <w:r>
        <w:rPr>
          <w:rFonts w:ascii="Arial" w:eastAsia="Verdana" w:hAnsi="Arial" w:cs="Arial"/>
          <w:b/>
          <w:sz w:val="20"/>
          <w:szCs w:val="20"/>
        </w:rPr>
        <w:t>22</w:t>
      </w:r>
      <w:r w:rsidR="00A45D3E" w:rsidRPr="001F420B">
        <w:rPr>
          <w:rFonts w:ascii="Arial" w:eastAsia="Verdana" w:hAnsi="Arial" w:cs="Arial"/>
          <w:b/>
          <w:sz w:val="20"/>
          <w:szCs w:val="20"/>
        </w:rPr>
        <w:t xml:space="preserve"> i 2</w:t>
      </w:r>
      <w:r>
        <w:rPr>
          <w:rFonts w:ascii="Arial" w:eastAsia="Verdana" w:hAnsi="Arial" w:cs="Arial"/>
          <w:b/>
          <w:sz w:val="20"/>
          <w:szCs w:val="20"/>
        </w:rPr>
        <w:t>3</w:t>
      </w:r>
      <w:r w:rsidR="00A45D3E"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 w:rsidR="00A45D3E">
        <w:rPr>
          <w:rFonts w:ascii="Arial" w:eastAsia="Verdana" w:hAnsi="Arial" w:cs="Arial"/>
          <w:sz w:val="20"/>
          <w:szCs w:val="20"/>
        </w:rPr>
        <w:t>WZ.</w:t>
      </w:r>
    </w:p>
    <w:p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lastRenderedPageBreak/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F20072">
        <w:rPr>
          <w:rFonts w:ascii="Arial" w:hAnsi="Arial" w:cs="Arial"/>
          <w:sz w:val="20"/>
          <w:szCs w:val="20"/>
        </w:rPr>
        <w:t>Halina Piotrkowska</w:t>
      </w:r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F20072">
        <w:rPr>
          <w:rFonts w:ascii="Arial" w:hAnsi="Arial" w:cs="Arial"/>
          <w:sz w:val="20"/>
          <w:szCs w:val="20"/>
        </w:rPr>
        <w:t>kierownik Wydz. Techniczno - Inwestycyjnego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F20072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>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lastRenderedPageBreak/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lastRenderedPageBreak/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</w:t>
      </w:r>
      <w:r w:rsidR="00CF0EA6">
        <w:rPr>
          <w:rFonts w:ascii="Arial" w:hAnsi="Arial" w:cs="Arial"/>
          <w:sz w:val="20"/>
          <w:szCs w:val="20"/>
        </w:rPr>
        <w:t>rciu o kosztorys ofertowy</w:t>
      </w:r>
      <w:r w:rsidRPr="00CF3A40">
        <w:rPr>
          <w:rFonts w:ascii="Arial" w:hAnsi="Arial" w:cs="Arial"/>
          <w:sz w:val="20"/>
          <w:szCs w:val="20"/>
        </w:rPr>
        <w:t>. Zamawi</w:t>
      </w:r>
      <w:r w:rsidR="00F632E1">
        <w:rPr>
          <w:rFonts w:ascii="Arial" w:hAnsi="Arial" w:cs="Arial"/>
          <w:sz w:val="20"/>
          <w:szCs w:val="20"/>
        </w:rPr>
        <w:t>ający zamieszcza w niniejszej S</w:t>
      </w:r>
      <w:r w:rsidRPr="00CF3A40">
        <w:rPr>
          <w:rFonts w:ascii="Arial" w:hAnsi="Arial" w:cs="Arial"/>
          <w:sz w:val="20"/>
          <w:szCs w:val="20"/>
        </w:rPr>
        <w:t xml:space="preserve">WZ </w:t>
      </w:r>
      <w:r w:rsidR="00CF0EA6">
        <w:rPr>
          <w:rFonts w:ascii="Arial" w:hAnsi="Arial" w:cs="Arial"/>
          <w:b/>
          <w:sz w:val="20"/>
          <w:szCs w:val="20"/>
        </w:rPr>
        <w:t>kosztorys</w:t>
      </w:r>
      <w:r w:rsidRPr="00CF3A40">
        <w:rPr>
          <w:rFonts w:ascii="Arial" w:hAnsi="Arial" w:cs="Arial"/>
          <w:b/>
          <w:sz w:val="20"/>
          <w:szCs w:val="20"/>
        </w:rPr>
        <w:t xml:space="preserve"> ofertow</w:t>
      </w:r>
      <w:r w:rsidR="00CF0EA6">
        <w:rPr>
          <w:rFonts w:ascii="Arial" w:hAnsi="Arial" w:cs="Arial"/>
          <w:b/>
          <w:sz w:val="20"/>
          <w:szCs w:val="20"/>
        </w:rPr>
        <w:t>y</w:t>
      </w:r>
      <w:r w:rsidRPr="00CF3A40">
        <w:rPr>
          <w:rFonts w:ascii="Arial" w:hAnsi="Arial" w:cs="Arial"/>
          <w:sz w:val="20"/>
          <w:szCs w:val="20"/>
        </w:rPr>
        <w:t xml:space="preserve"> oraz </w:t>
      </w:r>
      <w:r w:rsidR="00CF0EA6">
        <w:rPr>
          <w:rFonts w:ascii="Arial" w:hAnsi="Arial" w:cs="Arial"/>
          <w:b/>
          <w:sz w:val="20"/>
          <w:szCs w:val="20"/>
        </w:rPr>
        <w:t>zaleca jego</w:t>
      </w:r>
      <w:r w:rsidRPr="00CF3A40">
        <w:rPr>
          <w:rFonts w:ascii="Arial" w:hAnsi="Arial" w:cs="Arial"/>
          <w:b/>
          <w:sz w:val="20"/>
          <w:szCs w:val="20"/>
        </w:rPr>
        <w:t xml:space="preserve"> wykorzystanie (załącznik</w:t>
      </w:r>
      <w:r w:rsidR="00CF0EA6">
        <w:rPr>
          <w:rFonts w:ascii="Arial" w:hAnsi="Arial" w:cs="Arial"/>
          <w:b/>
          <w:sz w:val="20"/>
          <w:szCs w:val="20"/>
        </w:rPr>
        <w:t xml:space="preserve"> nr 23 </w:t>
      </w:r>
      <w:r w:rsidR="003F0E4C">
        <w:rPr>
          <w:rFonts w:ascii="Arial" w:hAnsi="Arial" w:cs="Arial"/>
          <w:b/>
          <w:sz w:val="20"/>
          <w:szCs w:val="20"/>
        </w:rPr>
        <w:t>do S</w:t>
      </w:r>
      <w:r w:rsidRPr="00CF3A40">
        <w:rPr>
          <w:rFonts w:ascii="Arial" w:hAnsi="Arial" w:cs="Arial"/>
          <w:b/>
          <w:sz w:val="20"/>
          <w:szCs w:val="20"/>
        </w:rPr>
        <w:t>WZ).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CF04E7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2.1. sporządzić metodą kalkulacji uproszczonej ściśle wg kolejności wyszczególnionych pozycji w tych kosztorysach;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pozycji wymienionych w kosztorysach (ilość x cena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:rsidR="00CF3A40" w:rsidRDefault="00CB3223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sumę wartości netto z kosztorysów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ofertowych wszystkie pozycje w nich 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nie może samodzielnie wprowadzać zmian do kosztorysów ofertowych oraz nie może pominąć żadnej pozycji wskazanej w kosztorysach.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>WZ. Koszty towarzyszące wykonaniu przedmiotu zamówienia, których nie ujęto w odrębnych pozycjach, Wykonawca powinien ująć w cenach jednostkowych pozycji opisanych w kosztorysach.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lastRenderedPageBreak/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lastRenderedPageBreak/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1B652B">
        <w:rPr>
          <w:rFonts w:ascii="Arial" w:hAnsi="Arial" w:cs="Arial"/>
          <w:b/>
          <w:caps/>
          <w:sz w:val="20"/>
        </w:rPr>
        <w:t>23.05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A406C">
        <w:rPr>
          <w:rFonts w:ascii="Arial" w:hAnsi="Arial" w:cs="Arial"/>
          <w:b/>
          <w:bCs/>
          <w:sz w:val="20"/>
          <w:szCs w:val="20"/>
        </w:rPr>
        <w:t>22.04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lastRenderedPageBreak/>
        <w:t xml:space="preserve">Otwarcie ofert nastąpi w dniu </w:t>
      </w:r>
      <w:r w:rsidR="002A406C">
        <w:rPr>
          <w:rFonts w:ascii="Arial" w:hAnsi="Arial" w:cs="Arial"/>
          <w:b/>
          <w:bCs/>
          <w:sz w:val="20"/>
          <w:szCs w:val="20"/>
        </w:rPr>
        <w:t>22.04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pkt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9E154E">
        <w:rPr>
          <w:rFonts w:ascii="Arial" w:hAnsi="Arial" w:cs="Arial"/>
          <w:b/>
          <w:color w:val="000000"/>
          <w:sz w:val="20"/>
          <w:szCs w:val="20"/>
        </w:rPr>
        <w:t>o</w:t>
      </w:r>
      <w:r w:rsidR="007A4AAE">
        <w:rPr>
          <w:rFonts w:ascii="Arial" w:hAnsi="Arial" w:cs="Arial"/>
          <w:b/>
          <w:color w:val="000000"/>
          <w:sz w:val="20"/>
          <w:szCs w:val="20"/>
        </w:rPr>
        <w:t>b</w:t>
      </w:r>
      <w:r w:rsidR="009E154E">
        <w:rPr>
          <w:rFonts w:ascii="Arial" w:hAnsi="Arial" w:cs="Arial"/>
          <w:b/>
          <w:color w:val="000000"/>
          <w:sz w:val="20"/>
          <w:szCs w:val="20"/>
        </w:rPr>
        <w:t>y wskazanej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9E154E">
        <w:rPr>
          <w:rFonts w:ascii="Arial" w:hAnsi="Arial" w:cs="Arial"/>
          <w:color w:val="000000"/>
          <w:sz w:val="20"/>
          <w:szCs w:val="20"/>
        </w:rPr>
        <w:t xml:space="preserve"> budowlanych i aktualnego zaświadczenia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E070BB">
        <w:rPr>
          <w:rFonts w:ascii="Arial" w:hAnsi="Arial" w:cs="Arial"/>
          <w:b/>
          <w:sz w:val="20"/>
          <w:szCs w:val="20"/>
        </w:rPr>
        <w:t>6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3336B3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„Bud</w:t>
      </w:r>
      <w:r w:rsidR="005D4ED4">
        <w:rPr>
          <w:rFonts w:ascii="Arial" w:hAnsi="Arial" w:cs="Arial"/>
          <w:b/>
          <w:sz w:val="20"/>
          <w:szCs w:val="20"/>
        </w:rPr>
        <w:t>owa drogi publicznej</w:t>
      </w:r>
      <w:r w:rsidR="009A3236">
        <w:rPr>
          <w:rFonts w:ascii="Arial" w:hAnsi="Arial" w:cs="Arial"/>
          <w:b/>
          <w:sz w:val="20"/>
          <w:szCs w:val="20"/>
        </w:rPr>
        <w:t xml:space="preserve"> w Piątkach</w:t>
      </w:r>
      <w:r w:rsidR="005D4ED4">
        <w:rPr>
          <w:rFonts w:ascii="Arial" w:hAnsi="Arial" w:cs="Arial"/>
          <w:b/>
          <w:sz w:val="20"/>
          <w:szCs w:val="20"/>
        </w:rPr>
        <w:t xml:space="preserve"> wraz z budową skrzyżowania z drogą wojewódzką nr 538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5D4ED4">
        <w:rPr>
          <w:rFonts w:ascii="Arial" w:hAnsi="Arial" w:cs="Arial"/>
          <w:b/>
          <w:sz w:val="20"/>
          <w:szCs w:val="20"/>
        </w:rPr>
        <w:t>6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376ABD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="002772A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Decyzja Starosty Nidzickiego nr </w:t>
      </w:r>
      <w:r w:rsidR="005D4ED4">
        <w:rPr>
          <w:rFonts w:ascii="Arial" w:hAnsi="Arial" w:cs="Arial"/>
          <w:sz w:val="20"/>
          <w:szCs w:val="20"/>
        </w:rPr>
        <w:t>1/2019 z dnia 05.02.2019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:rsidR="005D4ED4" w:rsidRDefault="005D4ED4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D4ED4" w:rsidRPr="005D4ED4" w:rsidRDefault="005D4ED4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 xml:space="preserve">-  Decyzja Woj. </w:t>
      </w:r>
      <w:proofErr w:type="spellStart"/>
      <w:r>
        <w:rPr>
          <w:rFonts w:ascii="Arial" w:hAnsi="Arial" w:cs="Arial"/>
          <w:sz w:val="20"/>
          <w:szCs w:val="20"/>
        </w:rPr>
        <w:t>Warm</w:t>
      </w:r>
      <w:proofErr w:type="spellEnd"/>
      <w:r>
        <w:rPr>
          <w:rFonts w:ascii="Arial" w:hAnsi="Arial" w:cs="Arial"/>
          <w:sz w:val="20"/>
          <w:szCs w:val="20"/>
        </w:rPr>
        <w:t xml:space="preserve">.- </w:t>
      </w:r>
      <w:proofErr w:type="spellStart"/>
      <w:r>
        <w:rPr>
          <w:rFonts w:ascii="Arial" w:hAnsi="Arial" w:cs="Arial"/>
          <w:sz w:val="20"/>
          <w:szCs w:val="20"/>
        </w:rPr>
        <w:t>Maz</w:t>
      </w:r>
      <w:proofErr w:type="spellEnd"/>
      <w:r>
        <w:rPr>
          <w:rFonts w:ascii="Arial" w:hAnsi="Arial" w:cs="Arial"/>
          <w:sz w:val="20"/>
          <w:szCs w:val="20"/>
        </w:rPr>
        <w:t>. Nr Ni/101/18 z dnia 19.12.2018 r.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3C7421" w:rsidRDefault="008F0C18" w:rsidP="003C742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B23948">
        <w:rPr>
          <w:rFonts w:ascii="Arial" w:hAnsi="Arial" w:cs="Arial"/>
          <w:sz w:val="20"/>
          <w:szCs w:val="20"/>
        </w:rPr>
        <w:t xml:space="preserve">Załącznik nr </w:t>
      </w:r>
      <w:r w:rsidR="005D4ED4">
        <w:rPr>
          <w:rFonts w:ascii="Arial" w:hAnsi="Arial" w:cs="Arial"/>
          <w:b/>
          <w:sz w:val="20"/>
          <w:szCs w:val="20"/>
        </w:rPr>
        <w:t>14</w:t>
      </w:r>
      <w:r w:rsidRPr="00B23948">
        <w:rPr>
          <w:rFonts w:ascii="Arial" w:hAnsi="Arial" w:cs="Arial"/>
          <w:b/>
          <w:sz w:val="20"/>
          <w:szCs w:val="20"/>
        </w:rPr>
        <w:t xml:space="preserve"> </w:t>
      </w:r>
      <w:r w:rsidR="00454DD1" w:rsidRPr="00B23948">
        <w:rPr>
          <w:rFonts w:ascii="Arial" w:hAnsi="Arial" w:cs="Arial"/>
          <w:sz w:val="20"/>
          <w:szCs w:val="20"/>
        </w:rPr>
        <w:t>– Projekt budowlany</w:t>
      </w:r>
      <w:r w:rsidR="005D4ED4">
        <w:rPr>
          <w:rFonts w:ascii="Arial" w:hAnsi="Arial" w:cs="Arial"/>
          <w:sz w:val="20"/>
          <w:szCs w:val="20"/>
        </w:rPr>
        <w:t xml:space="preserve"> – budowa drogi</w:t>
      </w:r>
    </w:p>
    <w:p w:rsidR="005D4ED4" w:rsidRDefault="005D4ED4" w:rsidP="003C742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5D4ED4" w:rsidRPr="005D4ED4" w:rsidRDefault="005D4ED4" w:rsidP="003C742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Projekt budowlany – budowa skrzyżowania</w:t>
      </w:r>
    </w:p>
    <w:p w:rsidR="00B1234A" w:rsidRPr="00B1234A" w:rsidRDefault="00B1234A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F7A38" w:rsidRDefault="008F0C1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A16C0A">
        <w:rPr>
          <w:rFonts w:ascii="Arial" w:hAnsi="Arial" w:cs="Arial"/>
          <w:sz w:val="20"/>
          <w:szCs w:val="20"/>
        </w:rPr>
        <w:t xml:space="preserve">Załącznik nr </w:t>
      </w:r>
      <w:r w:rsidR="005D4ED4">
        <w:rPr>
          <w:rFonts w:ascii="Arial" w:hAnsi="Arial" w:cs="Arial"/>
          <w:b/>
          <w:sz w:val="20"/>
          <w:szCs w:val="20"/>
        </w:rPr>
        <w:t>16</w:t>
      </w:r>
      <w:r w:rsidRPr="00A16C0A">
        <w:rPr>
          <w:rFonts w:ascii="Arial" w:hAnsi="Arial" w:cs="Arial"/>
          <w:b/>
          <w:sz w:val="20"/>
          <w:szCs w:val="20"/>
        </w:rPr>
        <w:t xml:space="preserve"> </w:t>
      </w:r>
      <w:r w:rsidR="00376ABD">
        <w:rPr>
          <w:rFonts w:ascii="Arial" w:hAnsi="Arial" w:cs="Arial"/>
          <w:sz w:val="20"/>
          <w:szCs w:val="20"/>
        </w:rPr>
        <w:t>– P</w:t>
      </w:r>
      <w:r w:rsidR="00241FAD">
        <w:rPr>
          <w:rFonts w:ascii="Arial" w:hAnsi="Arial" w:cs="Arial"/>
          <w:sz w:val="20"/>
          <w:szCs w:val="20"/>
        </w:rPr>
        <w:t>rojekt wykon</w:t>
      </w:r>
      <w:r w:rsidR="005D4ED4">
        <w:rPr>
          <w:rFonts w:ascii="Arial" w:hAnsi="Arial" w:cs="Arial"/>
          <w:sz w:val="20"/>
          <w:szCs w:val="20"/>
        </w:rPr>
        <w:t xml:space="preserve">awczy </w:t>
      </w: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17 </w:t>
      </w:r>
      <w:r>
        <w:rPr>
          <w:rFonts w:ascii="Arial" w:hAnsi="Arial" w:cs="Arial"/>
          <w:sz w:val="20"/>
          <w:szCs w:val="20"/>
        </w:rPr>
        <w:t>– Projekt organizacji ruchu – droga gminna</w:t>
      </w: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– Zatwierdzenie organizacji ruchu przez Starostę Nidzickiego</w:t>
      </w: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-  Projekt organizacji ruchu – droga wojewódzka</w:t>
      </w:r>
    </w:p>
    <w:p w:rsid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5D4ED4" w:rsidRPr="005D4ED4" w:rsidRDefault="005D4ED4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– Zatwierdzenie organizacji ruchu przez Wojewodę Warmińsko-Mazurskiego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A16C0A" w:rsidRDefault="002F7A3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D4ED4">
        <w:rPr>
          <w:rFonts w:ascii="Arial" w:hAnsi="Arial" w:cs="Arial"/>
          <w:b/>
          <w:sz w:val="20"/>
          <w:szCs w:val="20"/>
        </w:rPr>
        <w:t>21</w:t>
      </w:r>
      <w:r w:rsidR="00376ABD">
        <w:rPr>
          <w:rFonts w:ascii="Arial" w:hAnsi="Arial" w:cs="Arial"/>
          <w:sz w:val="20"/>
          <w:szCs w:val="20"/>
        </w:rPr>
        <w:t xml:space="preserve"> – Specyfikacje techniczne wykonania i odbioru robót bu</w:t>
      </w:r>
      <w:r w:rsidR="003C7421">
        <w:rPr>
          <w:rFonts w:ascii="Arial" w:hAnsi="Arial" w:cs="Arial"/>
          <w:sz w:val="20"/>
          <w:szCs w:val="20"/>
        </w:rPr>
        <w:t xml:space="preserve">dowlanych </w:t>
      </w:r>
    </w:p>
    <w:p w:rsidR="002D15C9" w:rsidRDefault="002D15C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3D166C" w:rsidRDefault="003D166C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D4ED4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– </w:t>
      </w:r>
      <w:r w:rsidR="00376ABD" w:rsidRPr="00376ABD">
        <w:rPr>
          <w:rFonts w:ascii="Arial" w:hAnsi="Arial" w:cs="Arial"/>
          <w:sz w:val="20"/>
          <w:szCs w:val="20"/>
        </w:rPr>
        <w:t>Przedmiar</w:t>
      </w:r>
      <w:r w:rsidRPr="00376ABD">
        <w:rPr>
          <w:rFonts w:ascii="Arial" w:hAnsi="Arial" w:cs="Arial"/>
          <w:sz w:val="20"/>
          <w:szCs w:val="20"/>
        </w:rPr>
        <w:t xml:space="preserve"> robót</w:t>
      </w:r>
      <w:r w:rsidR="005D4ED4">
        <w:rPr>
          <w:rFonts w:ascii="Arial" w:hAnsi="Arial" w:cs="Arial"/>
          <w:sz w:val="20"/>
          <w:szCs w:val="20"/>
        </w:rPr>
        <w:t xml:space="preserve"> 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CA3D6E" w:rsidRDefault="0094120D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D4ED4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– </w:t>
      </w:r>
      <w:r w:rsidR="00376ABD" w:rsidRPr="00376ABD">
        <w:rPr>
          <w:rFonts w:ascii="Arial" w:hAnsi="Arial" w:cs="Arial"/>
          <w:sz w:val="20"/>
          <w:szCs w:val="20"/>
        </w:rPr>
        <w:t xml:space="preserve">Kosztorys ofertowy </w:t>
      </w:r>
      <w:r w:rsidRPr="0094120D"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2772A9" w:rsidRPr="007A308A" w:rsidRDefault="002772A9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A2" w:rsidRDefault="004724A2" w:rsidP="00921977">
      <w:r>
        <w:separator/>
      </w:r>
    </w:p>
  </w:endnote>
  <w:endnote w:type="continuationSeparator" w:id="0">
    <w:p w:rsidR="004724A2" w:rsidRDefault="004724A2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2" w:rsidRPr="007B17EA" w:rsidRDefault="004724A2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0763D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0763D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B4E52">
      <w:rPr>
        <w:rFonts w:ascii="Arial" w:hAnsi="Arial" w:cs="Arial"/>
        <w:b/>
        <w:bCs/>
        <w:noProof/>
        <w:sz w:val="16"/>
        <w:szCs w:val="16"/>
      </w:rPr>
      <w:t>2</w:t>
    </w:r>
    <w:r w:rsidR="00E0763D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0763D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0763D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B4E52">
      <w:rPr>
        <w:rFonts w:ascii="Arial" w:hAnsi="Arial" w:cs="Arial"/>
        <w:b/>
        <w:bCs/>
        <w:noProof/>
        <w:sz w:val="16"/>
        <w:szCs w:val="16"/>
      </w:rPr>
      <w:t>26</w:t>
    </w:r>
    <w:r w:rsidR="00E0763D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A2" w:rsidRDefault="004724A2" w:rsidP="00921977">
      <w:r>
        <w:separator/>
      </w:r>
    </w:p>
  </w:footnote>
  <w:footnote w:type="continuationSeparator" w:id="0">
    <w:p w:rsidR="004724A2" w:rsidRDefault="004724A2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0D33"/>
    <w:rsid w:val="00001E90"/>
    <w:rsid w:val="000053B3"/>
    <w:rsid w:val="00005C76"/>
    <w:rsid w:val="00005E0E"/>
    <w:rsid w:val="000117FF"/>
    <w:rsid w:val="00012335"/>
    <w:rsid w:val="00013A14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23A"/>
    <w:rsid w:val="00070523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0899"/>
    <w:rsid w:val="000C3EFF"/>
    <w:rsid w:val="000C7CFA"/>
    <w:rsid w:val="000D35E9"/>
    <w:rsid w:val="000E4D59"/>
    <w:rsid w:val="000F1C7A"/>
    <w:rsid w:val="000F754E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B652B"/>
    <w:rsid w:val="001C02D5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406C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E6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1CE"/>
    <w:rsid w:val="003336B3"/>
    <w:rsid w:val="003339AB"/>
    <w:rsid w:val="003357F3"/>
    <w:rsid w:val="00341C8A"/>
    <w:rsid w:val="00355ECA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EF7"/>
    <w:rsid w:val="003A771D"/>
    <w:rsid w:val="003B0E1B"/>
    <w:rsid w:val="003B19E5"/>
    <w:rsid w:val="003B308B"/>
    <w:rsid w:val="003B3E3C"/>
    <w:rsid w:val="003B46A8"/>
    <w:rsid w:val="003C1532"/>
    <w:rsid w:val="003C6AA0"/>
    <w:rsid w:val="003C7421"/>
    <w:rsid w:val="003C7FBE"/>
    <w:rsid w:val="003D013A"/>
    <w:rsid w:val="003D0ED7"/>
    <w:rsid w:val="003D12EF"/>
    <w:rsid w:val="003D166C"/>
    <w:rsid w:val="003D34C5"/>
    <w:rsid w:val="003D533B"/>
    <w:rsid w:val="003E085A"/>
    <w:rsid w:val="003E1003"/>
    <w:rsid w:val="003E25CB"/>
    <w:rsid w:val="003E28D1"/>
    <w:rsid w:val="003E2EA0"/>
    <w:rsid w:val="003E5F1B"/>
    <w:rsid w:val="003F0E4C"/>
    <w:rsid w:val="003F2E37"/>
    <w:rsid w:val="003F2EDF"/>
    <w:rsid w:val="004061CF"/>
    <w:rsid w:val="00415BDA"/>
    <w:rsid w:val="004163EA"/>
    <w:rsid w:val="0041796F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F46"/>
    <w:rsid w:val="004630D2"/>
    <w:rsid w:val="00463AC1"/>
    <w:rsid w:val="004650D7"/>
    <w:rsid w:val="00466F17"/>
    <w:rsid w:val="004675C8"/>
    <w:rsid w:val="004719B3"/>
    <w:rsid w:val="00471F49"/>
    <w:rsid w:val="004724A2"/>
    <w:rsid w:val="00483AAA"/>
    <w:rsid w:val="004879F5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776E"/>
    <w:rsid w:val="00560996"/>
    <w:rsid w:val="00561F97"/>
    <w:rsid w:val="0056787F"/>
    <w:rsid w:val="00567D68"/>
    <w:rsid w:val="00571243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D0E4D"/>
    <w:rsid w:val="005D0E9A"/>
    <w:rsid w:val="005D4ED4"/>
    <w:rsid w:val="005D5DB1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3D80"/>
    <w:rsid w:val="00654C33"/>
    <w:rsid w:val="00655B70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90F87"/>
    <w:rsid w:val="00692B0C"/>
    <w:rsid w:val="00693B06"/>
    <w:rsid w:val="00693E6A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EA7"/>
    <w:rsid w:val="006B5C24"/>
    <w:rsid w:val="006C17A1"/>
    <w:rsid w:val="006C23F8"/>
    <w:rsid w:val="006C29B4"/>
    <w:rsid w:val="006C7484"/>
    <w:rsid w:val="006D0A30"/>
    <w:rsid w:val="006D2AD7"/>
    <w:rsid w:val="006D2DCC"/>
    <w:rsid w:val="006F7DD5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08C6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AAE"/>
    <w:rsid w:val="007A4B81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2EFF"/>
    <w:rsid w:val="007E3371"/>
    <w:rsid w:val="007E458C"/>
    <w:rsid w:val="007F38EA"/>
    <w:rsid w:val="007F499B"/>
    <w:rsid w:val="007F5293"/>
    <w:rsid w:val="007F66D1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32A6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4133"/>
    <w:rsid w:val="008D6812"/>
    <w:rsid w:val="008E461B"/>
    <w:rsid w:val="008E4E30"/>
    <w:rsid w:val="008E7AA4"/>
    <w:rsid w:val="008F0C18"/>
    <w:rsid w:val="008F1B28"/>
    <w:rsid w:val="008F313B"/>
    <w:rsid w:val="008F4C40"/>
    <w:rsid w:val="008F5175"/>
    <w:rsid w:val="008F58F4"/>
    <w:rsid w:val="008F6C3D"/>
    <w:rsid w:val="008F77C1"/>
    <w:rsid w:val="009001E0"/>
    <w:rsid w:val="00904006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3C7F"/>
    <w:rsid w:val="009544AF"/>
    <w:rsid w:val="009544D3"/>
    <w:rsid w:val="00954D12"/>
    <w:rsid w:val="009560F9"/>
    <w:rsid w:val="0095622A"/>
    <w:rsid w:val="0096027A"/>
    <w:rsid w:val="00960AE8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4E52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54E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40A89"/>
    <w:rsid w:val="00A43576"/>
    <w:rsid w:val="00A450C2"/>
    <w:rsid w:val="00A45D3E"/>
    <w:rsid w:val="00A513E0"/>
    <w:rsid w:val="00A51850"/>
    <w:rsid w:val="00A52868"/>
    <w:rsid w:val="00A540D7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C5"/>
    <w:rsid w:val="00AA04D5"/>
    <w:rsid w:val="00AA12E5"/>
    <w:rsid w:val="00AA3E18"/>
    <w:rsid w:val="00AA77D1"/>
    <w:rsid w:val="00AB0374"/>
    <w:rsid w:val="00AB2A2B"/>
    <w:rsid w:val="00AC2648"/>
    <w:rsid w:val="00AD5F3D"/>
    <w:rsid w:val="00AD6688"/>
    <w:rsid w:val="00AD6C1C"/>
    <w:rsid w:val="00AE6DDD"/>
    <w:rsid w:val="00AF0176"/>
    <w:rsid w:val="00AF1BED"/>
    <w:rsid w:val="00AF2CBC"/>
    <w:rsid w:val="00AF32EC"/>
    <w:rsid w:val="00AF3545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1B97"/>
    <w:rsid w:val="00B22677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08D0"/>
    <w:rsid w:val="00B94913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3C8A"/>
    <w:rsid w:val="00BC61FF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92A05"/>
    <w:rsid w:val="00C944C2"/>
    <w:rsid w:val="00C96D1D"/>
    <w:rsid w:val="00CA3D6E"/>
    <w:rsid w:val="00CA4548"/>
    <w:rsid w:val="00CA564B"/>
    <w:rsid w:val="00CA6998"/>
    <w:rsid w:val="00CB1332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2414"/>
    <w:rsid w:val="00CE46E5"/>
    <w:rsid w:val="00CE5C87"/>
    <w:rsid w:val="00CF04E7"/>
    <w:rsid w:val="00CF0EA6"/>
    <w:rsid w:val="00CF1420"/>
    <w:rsid w:val="00CF385E"/>
    <w:rsid w:val="00CF3A40"/>
    <w:rsid w:val="00CF4DBA"/>
    <w:rsid w:val="00CF4FE8"/>
    <w:rsid w:val="00D033E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016"/>
    <w:rsid w:val="00D443E5"/>
    <w:rsid w:val="00D56E06"/>
    <w:rsid w:val="00D5752F"/>
    <w:rsid w:val="00D62DE4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B0342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5C9D"/>
    <w:rsid w:val="00DE61E6"/>
    <w:rsid w:val="00DE7557"/>
    <w:rsid w:val="00DF20D1"/>
    <w:rsid w:val="00DF350D"/>
    <w:rsid w:val="00DF3FFC"/>
    <w:rsid w:val="00E00B1A"/>
    <w:rsid w:val="00E02C04"/>
    <w:rsid w:val="00E0344E"/>
    <w:rsid w:val="00E05705"/>
    <w:rsid w:val="00E070BB"/>
    <w:rsid w:val="00E0763D"/>
    <w:rsid w:val="00E07A83"/>
    <w:rsid w:val="00E07C7D"/>
    <w:rsid w:val="00E10BCC"/>
    <w:rsid w:val="00E137EB"/>
    <w:rsid w:val="00E14056"/>
    <w:rsid w:val="00E146E7"/>
    <w:rsid w:val="00E17CB6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AEF"/>
    <w:rsid w:val="00EC6081"/>
    <w:rsid w:val="00EE246C"/>
    <w:rsid w:val="00EF4B3D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072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2CBD"/>
    <w:rsid w:val="00F45200"/>
    <w:rsid w:val="00F52E28"/>
    <w:rsid w:val="00F53405"/>
    <w:rsid w:val="00F61123"/>
    <w:rsid w:val="00F6239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1BE8"/>
    <w:rsid w:val="00F920E0"/>
    <w:rsid w:val="00F92A79"/>
    <w:rsid w:val="00F95C42"/>
    <w:rsid w:val="00F97E9E"/>
    <w:rsid w:val="00FA1F98"/>
    <w:rsid w:val="00FA573C"/>
    <w:rsid w:val="00FA68FA"/>
    <w:rsid w:val="00FA6ABA"/>
    <w:rsid w:val="00FA73A6"/>
    <w:rsid w:val="00FA7402"/>
    <w:rsid w:val="00FB0519"/>
    <w:rsid w:val="00FB2E8C"/>
    <w:rsid w:val="00FB31F9"/>
    <w:rsid w:val="00FB4EC1"/>
    <w:rsid w:val="00FC6A07"/>
    <w:rsid w:val="00FC7F09"/>
    <w:rsid w:val="00FD6BEA"/>
    <w:rsid w:val="00FE0265"/>
    <w:rsid w:val="00FE2276"/>
    <w:rsid w:val="00FE29D2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26</Pages>
  <Words>12232</Words>
  <Characters>73394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939</cp:revision>
  <cp:lastPrinted>2022-04-04T08:23:00Z</cp:lastPrinted>
  <dcterms:created xsi:type="dcterms:W3CDTF">2021-01-27T07:59:00Z</dcterms:created>
  <dcterms:modified xsi:type="dcterms:W3CDTF">2022-04-05T07:02:00Z</dcterms:modified>
</cp:coreProperties>
</file>