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0A752" w14:textId="77777777" w:rsidR="00217845" w:rsidRPr="00217845" w:rsidRDefault="00217845" w:rsidP="00217845">
      <w:pPr>
        <w:pStyle w:val="Default"/>
      </w:pPr>
      <w:r w:rsidRPr="00217845">
        <w:t xml:space="preserve">URZĄD MIEJSKI </w:t>
      </w:r>
    </w:p>
    <w:p w14:paraId="448FD9B8" w14:textId="77777777" w:rsidR="00217845" w:rsidRPr="00217845" w:rsidRDefault="00217845" w:rsidP="00217845">
      <w:pPr>
        <w:pStyle w:val="Default"/>
      </w:pPr>
      <w:r w:rsidRPr="00217845">
        <w:t xml:space="preserve">13-100 Nidzica </w:t>
      </w:r>
    </w:p>
    <w:p w14:paraId="5DA03518" w14:textId="77777777" w:rsidR="00217845" w:rsidRPr="00217845" w:rsidRDefault="00217845" w:rsidP="00217845">
      <w:pPr>
        <w:pStyle w:val="Default"/>
      </w:pPr>
      <w:r w:rsidRPr="00217845">
        <w:t xml:space="preserve">Plac Wolności 1 </w:t>
      </w:r>
    </w:p>
    <w:p w14:paraId="08E85CF1" w14:textId="77777777" w:rsidR="00217845" w:rsidRDefault="00217845" w:rsidP="00217845">
      <w:pPr>
        <w:rPr>
          <w:rFonts w:ascii="Times New Roman" w:hAnsi="Times New Roman" w:cs="Times New Roman"/>
          <w:sz w:val="24"/>
          <w:szCs w:val="24"/>
        </w:rPr>
      </w:pPr>
      <w:r w:rsidRPr="00217845">
        <w:rPr>
          <w:rFonts w:ascii="Times New Roman" w:hAnsi="Times New Roman" w:cs="Times New Roman"/>
          <w:sz w:val="24"/>
          <w:szCs w:val="24"/>
        </w:rPr>
        <w:t>woj. warmińsko-mazurskie</w:t>
      </w:r>
    </w:p>
    <w:p w14:paraId="5168457B" w14:textId="673CB9A3" w:rsidR="00C03DF8" w:rsidRDefault="00C03DF8" w:rsidP="0021784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</w:t>
      </w:r>
      <w:r w:rsidR="009F78A5">
        <w:rPr>
          <w:rFonts w:ascii="Times New Roman" w:hAnsi="Times New Roman" w:cs="Times New Roman"/>
          <w:sz w:val="24"/>
          <w:szCs w:val="24"/>
        </w:rPr>
        <w:t>09</w:t>
      </w:r>
      <w:r w:rsidR="00AD6114">
        <w:rPr>
          <w:rFonts w:ascii="Times New Roman" w:hAnsi="Times New Roman" w:cs="Times New Roman"/>
          <w:sz w:val="24"/>
          <w:szCs w:val="24"/>
        </w:rPr>
        <w:t xml:space="preserve"> </w:t>
      </w:r>
      <w:r w:rsidR="009F78A5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C0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3E6D4E" w14:textId="4153BEF4" w:rsidR="00C03DF8" w:rsidRDefault="00C03DF8" w:rsidP="00C03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0201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.152.</w:t>
      </w:r>
      <w:r w:rsidR="00AD611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A2F8C">
        <w:rPr>
          <w:rFonts w:ascii="Times New Roman" w:hAnsi="Times New Roman" w:cs="Times New Roman"/>
          <w:b/>
          <w:sz w:val="24"/>
          <w:szCs w:val="24"/>
        </w:rPr>
        <w:t>4</w:t>
      </w:r>
    </w:p>
    <w:p w14:paraId="12FD7821" w14:textId="62BB8037" w:rsidR="008C655D" w:rsidRDefault="00C03DF8" w:rsidP="00993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55D">
        <w:rPr>
          <w:rFonts w:ascii="Times New Roman" w:hAnsi="Times New Roman"/>
          <w:sz w:val="24"/>
          <w:szCs w:val="24"/>
        </w:rPr>
        <w:t xml:space="preserve"> </w:t>
      </w:r>
    </w:p>
    <w:p w14:paraId="65BC6FA0" w14:textId="23DFD94A" w:rsidR="008C655D" w:rsidRDefault="00CA2F8C" w:rsidP="00CA2F8C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Łyńskie Centrum Rozwoju „AŁNA”</w:t>
      </w:r>
    </w:p>
    <w:p w14:paraId="091337C0" w14:textId="69CE934F" w:rsidR="008C655D" w:rsidRDefault="006D125A" w:rsidP="008C655D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Łyna 25b</w:t>
      </w:r>
    </w:p>
    <w:p w14:paraId="414E866F" w14:textId="05D1B26E" w:rsidR="008C655D" w:rsidRDefault="00CA2F8C" w:rsidP="008C655D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C65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100 Nidzica</w:t>
      </w:r>
    </w:p>
    <w:p w14:paraId="075E74CD" w14:textId="77777777" w:rsidR="00993646" w:rsidRDefault="00993646" w:rsidP="008C655D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0E37EC75" w14:textId="77777777" w:rsidR="00B72B00" w:rsidRDefault="00B72B00" w:rsidP="00B72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45E49" w14:textId="77777777" w:rsidR="00323EB9" w:rsidRDefault="00323EB9" w:rsidP="00B72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70D43" w14:textId="4EEE29D9" w:rsidR="00B72B00" w:rsidRDefault="00B72B00" w:rsidP="00B72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petycję z dnia 14</w:t>
      </w:r>
      <w:r w:rsidR="00091C5F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091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informuję: </w:t>
      </w:r>
    </w:p>
    <w:p w14:paraId="7C448520" w14:textId="77777777" w:rsidR="00B72B00" w:rsidRDefault="00B72B00" w:rsidP="00B72B00">
      <w:pPr>
        <w:pStyle w:val="Akapitzlist"/>
        <w:numPr>
          <w:ilvl w:val="0"/>
          <w:numId w:val="3"/>
        </w:numPr>
        <w:spacing w:line="25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 wstrzymania/ zatrzymania inwestycji</w:t>
      </w:r>
      <w:r>
        <w:rPr>
          <w:rFonts w:ascii="Times New Roman" w:hAnsi="Times New Roman" w:cs="Times New Roman"/>
          <w:sz w:val="24"/>
          <w:szCs w:val="24"/>
        </w:rPr>
        <w:t xml:space="preserve"> polegających na budowie farm fotowoltaicznych w obrębach geodezyjnych Łyna, Wólka Orłowska, Wietrzychowo. </w:t>
      </w:r>
    </w:p>
    <w:p w14:paraId="6BB408E5" w14:textId="77777777" w:rsidR="00B72B00" w:rsidRDefault="00B72B00" w:rsidP="00B72B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C62529" w14:textId="77777777" w:rsidR="00B72B00" w:rsidRDefault="00B72B00" w:rsidP="00B72B0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farm fotowoltaicznych wymaga uzyskania szeregu decyzji administracyjnych. </w:t>
      </w:r>
    </w:p>
    <w:p w14:paraId="708C8C5B" w14:textId="77777777" w:rsidR="00B72B00" w:rsidRDefault="00B72B00" w:rsidP="00B72B0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F15FA4" w14:textId="77777777" w:rsidR="00B72B00" w:rsidRDefault="00B72B00" w:rsidP="00B72B0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Pierwszym etapem jest uzyskanie decyzji o środowiskowych uwarunkowaniach.</w:t>
      </w:r>
    </w:p>
    <w:p w14:paraId="78EEF5A9" w14:textId="77777777" w:rsidR="00B72B00" w:rsidRDefault="00B72B00" w:rsidP="00B72B0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53417F" w14:textId="77777777" w:rsidR="00B72B00" w:rsidRDefault="00B72B00" w:rsidP="00B72B0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Decyzji środowiskowej wymaga realizacja przedsięwzięcia polegającego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zabudowie systemami fotowoltaicznymi o powierzchni wyznaczanej po obrysie zewnętrznych skrajnych modułów paneli nie mniejszej niż 0,5 ha na obszarach objętych formami ochrony przyrody (…) , oraz o powierzchni nie mniejszej niż 2 ha na obszarach nie objętych formami ochrony przyrody. </w:t>
      </w:r>
    </w:p>
    <w:p w14:paraId="4F04443B" w14:textId="77777777" w:rsidR="00B72B00" w:rsidRDefault="00B72B00" w:rsidP="00B72B00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75 ust. 1 pkt 4 ustawy z dnia 3 października 2008 r. o udostępnianiu informacji o środowisku i jego ochronie, udziale społeczeństwa w ochronie środowiska oraz o ocenach oddziaływania na środowisko (t. j. Dz. U. z 2023 r. poz. 1094 z późn. zm.) </w:t>
      </w:r>
      <w:r>
        <w:rPr>
          <w:rFonts w:ascii="Times New Roman" w:hAnsi="Times New Roman" w:cs="Times New Roman"/>
          <w:sz w:val="24"/>
          <w:szCs w:val="24"/>
        </w:rPr>
        <w:t xml:space="preserve">Organem właściwym do wydania decyzji o środowiskowych uwarunkowaniach dla farm fotowoltaicznych jest Burmistrz. </w:t>
      </w:r>
    </w:p>
    <w:p w14:paraId="71BA73E2" w14:textId="77777777" w:rsidR="00B72B00" w:rsidRDefault="00B72B00" w:rsidP="00B72B00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Postępowania w sprawie wydania decyzji środowiskowej prowadzone są w procedurze ściśle określonej w ww. ustawie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środowisko (dalej nazywaną ustawą ooś). </w:t>
      </w:r>
    </w:p>
    <w:p w14:paraId="18FC9DE4" w14:textId="77777777" w:rsidR="00B72B00" w:rsidRDefault="00B72B00" w:rsidP="00B72B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Rozpatrując sprawę w przedmiocie decyzji o środowiskowych uwarunkowaniach należy mieć na uwadze specyfikę wydawanego rozstrzygnięcia, które nie ma charakteru uznaniowego. Jest to decyzja związana uzależniona od spełnienia ściśle określonych przesłanek. Ponadto, z dyspozycji </w:t>
      </w:r>
      <w:hyperlink r:id="rId6" w:anchor="/document/17497783?unitId=art(81)&amp;cm=DOCUM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art.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ustawy ooś wynika, że ustawodawca precyzyjnie określił </w:t>
      </w:r>
      <w:r>
        <w:rPr>
          <w:rFonts w:ascii="Times New Roman" w:hAnsi="Times New Roman" w:cs="Times New Roman"/>
          <w:b/>
          <w:bCs/>
          <w:sz w:val="24"/>
          <w:szCs w:val="24"/>
        </w:rPr>
        <w:t>katalog okoliczności uzasadniających odmowę</w:t>
      </w:r>
      <w:r>
        <w:rPr>
          <w:rFonts w:ascii="Times New Roman" w:hAnsi="Times New Roman" w:cs="Times New Roman"/>
          <w:sz w:val="24"/>
          <w:szCs w:val="24"/>
        </w:rPr>
        <w:t xml:space="preserve"> zgody na realizację </w:t>
      </w:r>
      <w:r>
        <w:rPr>
          <w:rFonts w:ascii="Times New Roman" w:hAnsi="Times New Roman" w:cs="Times New Roman"/>
          <w:sz w:val="24"/>
          <w:szCs w:val="24"/>
        </w:rPr>
        <w:lastRenderedPageBreak/>
        <w:t>przedsięwzięcia. Wydania decyzji o środowiskowych uwarunkowaniach można odmówić jedynie w razie:</w:t>
      </w:r>
    </w:p>
    <w:p w14:paraId="2E41DFD0" w14:textId="77777777" w:rsidR="00B72B00" w:rsidRDefault="00B72B00" w:rsidP="00B72B00">
      <w:pPr>
        <w:pStyle w:val="Akapitzlist"/>
        <w:numPr>
          <w:ilvl w:val="0"/>
          <w:numId w:val="4"/>
        </w:numPr>
        <w:shd w:val="clear" w:color="auto" w:fill="FFFFFF"/>
        <w:spacing w:after="0" w:line="254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gdy zamierzenie jest niezgodne z miejscowym planem zagospodarowania przestrzennego (art. 59a ust. 3 pkt 2 ustawy ooś) oraz: </w:t>
      </w:r>
    </w:p>
    <w:p w14:paraId="3033F9F1" w14:textId="77777777" w:rsidR="00B72B00" w:rsidRDefault="00B72B00" w:rsidP="00B72B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zgody wnioskodawcy na realizację przedsięwzięcia w wariancie innym niż proponowany, jeżeli z oceny oddziaływania na środowisko wynika zasadność realizacji przedsięwzięcia w innym wariancie (</w:t>
      </w:r>
      <w:hyperlink r:id="rId7" w:anchor="/document/17497783?unitId=art(81)ust(1)&amp;cm=DOCUMENT" w:history="1">
        <w:r>
          <w:rPr>
            <w:rStyle w:val="Hipercze"/>
            <w:rFonts w:ascii="Times New Roman" w:hAnsi="Times New Roman" w:cs="Times New Roman"/>
          </w:rPr>
          <w:t>art. 81 ust.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ustawy ooś);  </w:t>
      </w:r>
    </w:p>
    <w:p w14:paraId="5508620C" w14:textId="77777777" w:rsidR="00B72B00" w:rsidRDefault="00B72B00" w:rsidP="00B72B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 oceny oddziaływania przedsięwzięcia na środowisko wynika, że przedsięwzięcie może znacząco negatywnie oddziaływać na obszar Natura 2000 (</w:t>
      </w:r>
      <w:hyperlink r:id="rId8" w:anchor="/document/17497783?unitId=art(81)ust(2)&amp;cm=DOCUMENT" w:history="1">
        <w:r>
          <w:rPr>
            <w:rStyle w:val="Hipercze"/>
            <w:rFonts w:ascii="Times New Roman" w:hAnsi="Times New Roman" w:cs="Times New Roman"/>
          </w:rPr>
          <w:t>art. 81 ust. 2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14:paraId="3DA65BD9" w14:textId="77777777" w:rsidR="00B72B00" w:rsidRDefault="00B72B00" w:rsidP="00B72B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 oceny oddziaływania przedsięwzięcia na środowisko wynika, że przedsięwzięcie to wpływa negatywnie na możliwość osiągnięcia celów środowiskowych (…) dla jednolitych części wód powierzchniowych i podziemnych zawartych w planie gospodarowania wodami dorzecza (</w:t>
      </w:r>
      <w:hyperlink r:id="rId9" w:anchor="/document/17497783?unitId=art(81)ust(3)&amp;cm=DOCUMENT" w:history="1">
        <w:r>
          <w:rPr>
            <w:rStyle w:val="Hipercze"/>
            <w:rFonts w:ascii="Times New Roman" w:hAnsi="Times New Roman" w:cs="Times New Roman"/>
          </w:rPr>
          <w:t>art. 81 ust.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ustawy ooś). </w:t>
      </w:r>
    </w:p>
    <w:p w14:paraId="321E667B" w14:textId="77777777" w:rsidR="00B72B00" w:rsidRDefault="00B72B00" w:rsidP="00B72B00">
      <w:pPr>
        <w:pStyle w:val="Akapitzlist"/>
        <w:shd w:val="clear" w:color="auto" w:fill="FFFFFF"/>
        <w:spacing w:after="0" w:line="240" w:lineRule="auto"/>
        <w:ind w:left="426"/>
        <w:jc w:val="both"/>
        <w:rPr>
          <w:b/>
          <w:bCs/>
          <w:kern w:val="2"/>
        </w:rPr>
      </w:pPr>
    </w:p>
    <w:p w14:paraId="534E3D92" w14:textId="77777777" w:rsidR="00B72B00" w:rsidRDefault="00B72B00" w:rsidP="00B72B0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organ nie stwierdzi ww. przeszkód do wydania decyzji , musi wydać decyzję pozytywną, czyli musi ustalić środowiskowe uwarunkowania dla przedsięwzięcia, zgodnie z wnioskiem strony.</w:t>
      </w:r>
    </w:p>
    <w:p w14:paraId="7B9CEF6A" w14:textId="77777777" w:rsidR="00B72B00" w:rsidRDefault="00B72B00" w:rsidP="00B72B0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Podkreślenia wymaga fakt, że wydanie decyzji środowiskowej poprzedza uzyskanie szeregu opinii i uzgodnień organów współdziałających, a postanowienia w sprawie uzgodnień dokonane na etapie prowadzonego postępowania (wydane przez Regionalnego Dyrektora Ochrony Środowiska lub Dyrektora Zarządu Zlewni) wiążą Organ prowadzący postępowanie.  </w:t>
      </w:r>
    </w:p>
    <w:p w14:paraId="4E99AC7E" w14:textId="77777777" w:rsidR="00B72B00" w:rsidRDefault="00B72B00" w:rsidP="00B72B0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7B48B1" w14:textId="77777777" w:rsidR="00B72B00" w:rsidRDefault="00B72B00" w:rsidP="00B72B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środowiskowych uwarunkowaniach ma dostarczyć wiążących informacji dla organów orzekających na kolejnym etapie przygotowania do realizacji inwestycji (celem skonkretyzowania wymagań ochrony środowiska). W przypadku braku miejscowego planu zagospodarowania przestrzennego decyzja środowiskowa jest obowiązkowym załącznikiem do wniosku o uzyskanie decyzji o warunkach zabudowy (o ile powierzchnia zabudowy panelami przekracza wyżej przytoczone obszary).</w:t>
      </w:r>
    </w:p>
    <w:p w14:paraId="2CA0B639" w14:textId="77777777" w:rsidR="00B72B00" w:rsidRDefault="00B72B00" w:rsidP="00B72B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etapem w procedurze jest uzyskanie decyzji ustalającej warunki zabudowy jeśli inwestycja jest planowana do realizacji na terenie nieobjętym ustaleniami miejscowego planu zagospodarowania przestrzennego.</w:t>
      </w:r>
    </w:p>
    <w:p w14:paraId="2C7B6F5E" w14:textId="77777777" w:rsidR="00B72B00" w:rsidRDefault="00B72B00" w:rsidP="00B72B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sprawie wydania decyzji ustalającej warunki zabudowy prowadzone jest w procedurze ściśle określonej w ustawie o planowaniu i zagospodarowaniu przestrzennym (t.j. Dz. U. z 2023 r. poz. 977 z późn. zm.), a jego celem jest ocena, czy zamierzona przez inwestora zmiana zagospodarowania terenu jest dopuszczalna.</w:t>
      </w:r>
    </w:p>
    <w:p w14:paraId="166C27A4" w14:textId="77777777" w:rsidR="00B72B00" w:rsidRDefault="00B72B00" w:rsidP="00B72B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decyzji ustalającej warunki zabudowy jest możliwe tylko w przypadku łącznego spełnienia warunków wymienionych w ww. ustawie o planowaniu i zagospodarowaniu przestrzennym.</w:t>
      </w:r>
    </w:p>
    <w:p w14:paraId="4E3984C9" w14:textId="77777777" w:rsidR="00B72B00" w:rsidRDefault="00B72B00" w:rsidP="00B72B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60 ust. 1 ww. ustawy „</w:t>
      </w:r>
      <w:r>
        <w:rPr>
          <w:rFonts w:ascii="Times New Roman" w:hAnsi="Times New Roman" w:cs="Times New Roman"/>
          <w:i/>
          <w:iCs/>
          <w:sz w:val="24"/>
          <w:szCs w:val="24"/>
        </w:rPr>
        <w:t>decyzję o warunkach zabudowy wydaje, z zastrzeżeniem ust. 3, wójt, burmistrz albo prezydent miasta po uzgodnieniu z organami, o których mowa w art. 53 ust. 4, i uzyskaniu uzgodnień lub decyzji wymaganych przepisami odrębnymi”</w:t>
      </w:r>
      <w:r>
        <w:rPr>
          <w:rFonts w:ascii="Times New Roman" w:hAnsi="Times New Roman" w:cs="Times New Roman"/>
          <w:sz w:val="24"/>
          <w:szCs w:val="24"/>
        </w:rPr>
        <w:t>. Projekt decyzji, sporządzony przez osobę z odpowiednimi kwalifikacjami, określonymi w ww. ustawie podlega szeregowi wiążących uzgodnień z właściwymi organami, które dokonują uzgodnienia w formie postanowienia.</w:t>
      </w:r>
    </w:p>
    <w:p w14:paraId="0FA7F46E" w14:textId="77777777" w:rsidR="00B72B00" w:rsidRDefault="00B72B00" w:rsidP="00B72B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Decyzja o warunkach zabudowy nie rodzi praw do terenu oraz nie narusza prawa własności i uprawnień osób trzecich. Jest decyzją deklaratoryjną i sama w sobie nie powoduje skutku przeznaczenia terenu. Zawarte w niej zapisy informują jaki obiekt i pod jakimi warunkami może wybudować inwestor na danym terenie. Należy zauważyć, że w odniesieniu do tego samego terenu decyzję o warunkach zabudowy można wydać więcej niż jednemu wnioskodawcy. Decyzja o warunkach zabudowy nie przyznaje więc żadnych praw do gruntu, nie przesądza o jego ostatecznym ani bieżącym przeznaczeniu (II SA/Bd 329/17 - Wyrok WSA w Bydgoszczy z 2017-07-12). </w:t>
      </w:r>
    </w:p>
    <w:p w14:paraId="3958D888" w14:textId="77777777" w:rsidR="00B72B00" w:rsidRDefault="00B72B00" w:rsidP="00B72B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warunkach zabudowy wydawana jest bezterminowo jednak zgodnie z ww. ustawą o planowaniu i zagospodarowaniu przestrzennym Organ, który wydał decyzję o warunkach zabudowy albo decyzję o ustaleniu lokalizacji celu publicznego, stwierdza jej wygaśnięcie, jeżeli:</w:t>
      </w:r>
    </w:p>
    <w:p w14:paraId="2077B891" w14:textId="77777777" w:rsidR="00B72B00" w:rsidRDefault="00B72B00" w:rsidP="00B72B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wnioskodawca uzyskał pozwolenie na budowę, nie wniesiono sprzeciwu wobec zgłoszenia budowy dokonanego przez innego wnioskodawcę, inny wnioskodawca zgłosił budowę, o której mowa w art. 29 ust. 1 pkt 1a ustawy z dnia 7 lipca 1994 r. - Prawo budowlane lub dla tego terenu uchwalono plan miejscowy, którego ustalenia są inne niż w wydanej decyzji.</w:t>
      </w:r>
    </w:p>
    <w:p w14:paraId="2BF06061" w14:textId="77777777" w:rsidR="00B72B00" w:rsidRDefault="00B72B00" w:rsidP="00B72B0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dopiero uzyskanie przez inwestora pozwolenia na budowę daje podstawę do faktycznej zmiany zagospodarowania terenu.</w:t>
      </w:r>
    </w:p>
    <w:p w14:paraId="3FAE2A93" w14:textId="77777777" w:rsidR="00B72B00" w:rsidRDefault="00B72B00" w:rsidP="00B72B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A4323B" w14:textId="77777777" w:rsidR="00B72B00" w:rsidRDefault="00B72B00" w:rsidP="00B72B00">
      <w:pPr>
        <w:pStyle w:val="Akapitzlist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 przygotowania i uchwalenia Studium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 zakazującego lokowania wielkogabarytowych wolnostojących OZE </w:t>
      </w:r>
      <w:r>
        <w:rPr>
          <w:rFonts w:ascii="Times New Roman" w:hAnsi="Times New Roman" w:cs="Times New Roman"/>
          <w:sz w:val="24"/>
          <w:szCs w:val="24"/>
        </w:rPr>
        <w:br/>
        <w:t>w Gminie Nidzica.</w:t>
      </w:r>
    </w:p>
    <w:p w14:paraId="1127B955" w14:textId="77777777" w:rsidR="00B72B00" w:rsidRDefault="00B72B00" w:rsidP="00B72B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września 2023 r. weszła w życie nowelizacja ustawy o planowaniu i zagospodarowaniu przestrzennym. Przepisy ustawy nowelizującej nie dają podstawy do wszczęcia postępowania w sprawie uchwalenia lub zmiany studium po dniu wejścia ustawy w życie. W ustawie zmieniającej przepisy planistyczne wprowadzono tylko kilka przepisów przejściowych, które pozwalają władzom gmin na dokończenie niektórych rozpoczętych procedur związanych z uchwaleniem zmian lub nowych studiów.</w:t>
      </w:r>
    </w:p>
    <w:p w14:paraId="3BFDB8B0" w14:textId="77777777" w:rsidR="00B72B00" w:rsidRDefault="00B72B00" w:rsidP="00B72B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elementów wprowadzonych nowelizacją ustawy jest wprowadzenie nowego narzędzia planistycznego, uchwalanego obligatoryjnie dla całej gminy, o randze aktu prawa miejscowego tj. planu ogólnego gminy. Plany ogólne zastąpią dotychczasowe studia uwarunkowań i kierunków zagospodarowania przestrzennego. Studia będą obowiązywać do dnia wejścia w życie planu ogólnego w danej gminie, jednak nie dłużej niż 31 grudnia 2025 r. Po podjęciu przez radę gminy uchwały o przystąpieniu do sporządzania planu ogólnego, w ogłoszeniu zostanie określony sposób, miejsce i termin składania wniosków do projektu planu ogólnego. </w:t>
      </w:r>
    </w:p>
    <w:p w14:paraId="0FA3045E" w14:textId="77777777" w:rsidR="00B72B00" w:rsidRDefault="00B72B00" w:rsidP="00B72B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uchwaleniu planu ogólnego zmiana zagospodarowania terenu, dotycząca</w:t>
      </w:r>
      <w:bookmarkStart w:id="0" w:name="mip69495804"/>
      <w:bookmarkEnd w:id="0"/>
      <w:r>
        <w:rPr>
          <w:rFonts w:ascii="Times New Roman" w:hAnsi="Times New Roman" w:cs="Times New Roman"/>
          <w:sz w:val="24"/>
          <w:szCs w:val="24"/>
        </w:rPr>
        <w:t xml:space="preserve"> niezamontowanych na budynku instalacji odnawialnych źródeł energii lokalizowanych: </w:t>
      </w:r>
    </w:p>
    <w:p w14:paraId="7BEB481C" w14:textId="77777777" w:rsidR="00B72B00" w:rsidRDefault="00B72B00" w:rsidP="00B72B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użytkach rolnych klasy I-III i gruntach leśnych;</w:t>
      </w:r>
    </w:p>
    <w:p w14:paraId="0C3A62B2" w14:textId="77777777" w:rsidR="00B72B00" w:rsidRDefault="00B72B00" w:rsidP="00B72B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użytkach rolnych klasy IV, o mocy zainstalowanej elektrycznej większej niż 150 kW lub wykorzystywanych do prowadzenia działalności gospodarczej w zakresie wytwarzania energii elektrycznej;</w:t>
      </w:r>
    </w:p>
    <w:p w14:paraId="36E8F858" w14:textId="77777777" w:rsidR="00B72B00" w:rsidRDefault="00B72B00" w:rsidP="00B72B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 gruntach innych niż wskazane w lit. a i b, o mocy zainstalowanej elektrycznej większej niż 1000 kW;</w:t>
      </w:r>
    </w:p>
    <w:p w14:paraId="228C0BDB" w14:textId="77777777" w:rsidR="00B72B00" w:rsidRDefault="00B72B00" w:rsidP="00B72B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 następowała na podstawie planu miejscowego.</w:t>
      </w:r>
    </w:p>
    <w:p w14:paraId="71AF99C3" w14:textId="77777777" w:rsidR="00B72B00" w:rsidRDefault="00B72B00" w:rsidP="00B72B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dnia utraty mocy studium uwarunkowań i kierunków zagospodarowania przestrzennego (jednak nie dłużej niż 31 grudnia 2025 r.), lokalizacja instalacje OZE może następować na podstawie decyzji o warunkach zabudowy.</w:t>
      </w:r>
    </w:p>
    <w:p w14:paraId="78AAB96F" w14:textId="77777777" w:rsidR="00B72B00" w:rsidRDefault="00B72B00" w:rsidP="00B72B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powyższego wstrzymanie/ zatrzymanie inwestycji polegających na budowie farm fotowoltaicznych bez podstawy prawnej nie jest możliwe.</w:t>
      </w:r>
    </w:p>
    <w:p w14:paraId="4898D13B" w14:textId="77777777" w:rsidR="00B72B00" w:rsidRDefault="00B72B00" w:rsidP="00B72B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5E9F7D" w14:textId="77777777" w:rsidR="009F78A5" w:rsidRDefault="009F78A5" w:rsidP="00B72B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93DE18" w14:textId="5BB440FC" w:rsidR="003C5F96" w:rsidRDefault="003C5F96" w:rsidP="003C5F9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NIDZICY </w:t>
      </w:r>
    </w:p>
    <w:p w14:paraId="335A9E7B" w14:textId="77777777" w:rsidR="003C5F96" w:rsidRDefault="003C5F96" w:rsidP="003C5F96">
      <w:pPr>
        <w:spacing w:after="0" w:line="240" w:lineRule="auto"/>
        <w:ind w:left="6024"/>
        <w:jc w:val="center"/>
        <w:rPr>
          <w:rFonts w:ascii="Times New Roman" w:hAnsi="Times New Roman" w:cs="Times New Roman"/>
          <w:sz w:val="24"/>
          <w:szCs w:val="24"/>
        </w:rPr>
      </w:pPr>
    </w:p>
    <w:p w14:paraId="0299560F" w14:textId="2355F311" w:rsidR="003C5F96" w:rsidRDefault="003C5F96" w:rsidP="003C5F96">
      <w:pPr>
        <w:spacing w:after="0" w:line="240" w:lineRule="auto"/>
        <w:ind w:left="60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Jacek Kosmala</w:t>
      </w:r>
    </w:p>
    <w:p w14:paraId="72F9096C" w14:textId="5E796E5E" w:rsidR="006612E0" w:rsidRDefault="009F78A5" w:rsidP="00196CF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160BD" w14:textId="77777777" w:rsidR="00196CF3" w:rsidRPr="006612E0" w:rsidRDefault="00196CF3" w:rsidP="00196CF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00E032D" w14:textId="77777777" w:rsidR="006F304D" w:rsidRDefault="006F304D" w:rsidP="006F30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249C93B1" w14:textId="77777777" w:rsidR="006F304D" w:rsidRDefault="006F304D" w:rsidP="006F304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2259834"/>
      <w:bookmarkStart w:id="2" w:name="_Hlk5186353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25DAA593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500EBBB0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60432D1F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14:paraId="0C26E478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1779C7" w14:textId="77777777" w:rsidR="006F304D" w:rsidRDefault="006F304D" w:rsidP="006F304D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89686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4" w:name="highlightHit_0"/>
      <w:bookmarkEnd w:id="4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highlightHit_1"/>
      <w:bookmarkEnd w:id="5"/>
      <w:r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6" w:name="highlightHit_2"/>
      <w:bookmarkEnd w:id="6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organizacji i zakresu działania archiwów zakładowych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3"/>
    <w:p w14:paraId="5EA7AB3F" w14:textId="77777777" w:rsidR="006F304D" w:rsidRDefault="006F304D" w:rsidP="006F304D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61617590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72E801CE" w14:textId="77777777" w:rsidR="006F304D" w:rsidRDefault="006F304D" w:rsidP="006F304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14:paraId="499A3CA3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14:paraId="3D151C58" w14:textId="77777777" w:rsidR="006F304D" w:rsidRDefault="006F304D" w:rsidP="006F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18693F" w14:textId="77777777" w:rsidR="006F304D" w:rsidRPr="00D904AB" w:rsidRDefault="006F304D" w:rsidP="009E3A1B">
      <w:pPr>
        <w:spacing w:after="0" w:line="240" w:lineRule="auto"/>
        <w:rPr>
          <w:rFonts w:ascii="Times New Roman" w:hAnsi="Times New Roman" w:cs="Times New Roman"/>
        </w:rPr>
      </w:pPr>
    </w:p>
    <w:sectPr w:rsidR="006F304D" w:rsidRPr="00D9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4469"/>
    <w:multiLevelType w:val="hybridMultilevel"/>
    <w:tmpl w:val="8BFE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B133A"/>
    <w:multiLevelType w:val="hybridMultilevel"/>
    <w:tmpl w:val="D268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96633"/>
    <w:multiLevelType w:val="hybridMultilevel"/>
    <w:tmpl w:val="613A721A"/>
    <w:lvl w:ilvl="0" w:tplc="F87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8271">
    <w:abstractNumId w:val="3"/>
  </w:num>
  <w:num w:numId="2" w16cid:durableId="1011688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905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581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BD"/>
    <w:rsid w:val="00002F04"/>
    <w:rsid w:val="00007A95"/>
    <w:rsid w:val="00014CC2"/>
    <w:rsid w:val="00023F96"/>
    <w:rsid w:val="000626FE"/>
    <w:rsid w:val="0007353D"/>
    <w:rsid w:val="00074C81"/>
    <w:rsid w:val="00082CCA"/>
    <w:rsid w:val="00091C5F"/>
    <w:rsid w:val="000925BE"/>
    <w:rsid w:val="00094331"/>
    <w:rsid w:val="000A3B3C"/>
    <w:rsid w:val="000A7929"/>
    <w:rsid w:val="000C3E1B"/>
    <w:rsid w:val="000D1186"/>
    <w:rsid w:val="000D50B8"/>
    <w:rsid w:val="00102EEE"/>
    <w:rsid w:val="00124644"/>
    <w:rsid w:val="00136BE4"/>
    <w:rsid w:val="001438E9"/>
    <w:rsid w:val="001602E8"/>
    <w:rsid w:val="001629BD"/>
    <w:rsid w:val="00167EC1"/>
    <w:rsid w:val="0017435B"/>
    <w:rsid w:val="00185FB3"/>
    <w:rsid w:val="00196CF3"/>
    <w:rsid w:val="001C25EB"/>
    <w:rsid w:val="001C597D"/>
    <w:rsid w:val="001C7F2E"/>
    <w:rsid w:val="001F4E9E"/>
    <w:rsid w:val="0020763D"/>
    <w:rsid w:val="002116E2"/>
    <w:rsid w:val="002120D7"/>
    <w:rsid w:val="00214D6E"/>
    <w:rsid w:val="00217845"/>
    <w:rsid w:val="002407C9"/>
    <w:rsid w:val="002749B3"/>
    <w:rsid w:val="002768FF"/>
    <w:rsid w:val="00285A0F"/>
    <w:rsid w:val="0028685E"/>
    <w:rsid w:val="002C6689"/>
    <w:rsid w:val="002D0442"/>
    <w:rsid w:val="002D5A92"/>
    <w:rsid w:val="002F0DED"/>
    <w:rsid w:val="002F2E9D"/>
    <w:rsid w:val="00323EB9"/>
    <w:rsid w:val="003310B8"/>
    <w:rsid w:val="00334943"/>
    <w:rsid w:val="00334C0A"/>
    <w:rsid w:val="00343495"/>
    <w:rsid w:val="00364774"/>
    <w:rsid w:val="00377D0C"/>
    <w:rsid w:val="003830EE"/>
    <w:rsid w:val="00387606"/>
    <w:rsid w:val="003950AA"/>
    <w:rsid w:val="003A4983"/>
    <w:rsid w:val="003C5F96"/>
    <w:rsid w:val="003E09FD"/>
    <w:rsid w:val="003E326A"/>
    <w:rsid w:val="003F3D9B"/>
    <w:rsid w:val="0040201F"/>
    <w:rsid w:val="00404C33"/>
    <w:rsid w:val="00406353"/>
    <w:rsid w:val="00426B60"/>
    <w:rsid w:val="00464B64"/>
    <w:rsid w:val="00471C20"/>
    <w:rsid w:val="004923F1"/>
    <w:rsid w:val="00492BE7"/>
    <w:rsid w:val="004B50B1"/>
    <w:rsid w:val="004B693E"/>
    <w:rsid w:val="004B7EE5"/>
    <w:rsid w:val="004E10EA"/>
    <w:rsid w:val="004F723B"/>
    <w:rsid w:val="00507697"/>
    <w:rsid w:val="00520882"/>
    <w:rsid w:val="00520E25"/>
    <w:rsid w:val="00527314"/>
    <w:rsid w:val="00541D24"/>
    <w:rsid w:val="00543809"/>
    <w:rsid w:val="005445A5"/>
    <w:rsid w:val="00565A5C"/>
    <w:rsid w:val="00576029"/>
    <w:rsid w:val="00576CF7"/>
    <w:rsid w:val="005A01FC"/>
    <w:rsid w:val="005A5DD8"/>
    <w:rsid w:val="005D08F1"/>
    <w:rsid w:val="005D533D"/>
    <w:rsid w:val="005D7499"/>
    <w:rsid w:val="005E1C66"/>
    <w:rsid w:val="005E2256"/>
    <w:rsid w:val="005F455A"/>
    <w:rsid w:val="006046A9"/>
    <w:rsid w:val="006057B4"/>
    <w:rsid w:val="00614199"/>
    <w:rsid w:val="00621EDD"/>
    <w:rsid w:val="0063104E"/>
    <w:rsid w:val="006612E0"/>
    <w:rsid w:val="00665A93"/>
    <w:rsid w:val="00671267"/>
    <w:rsid w:val="00674BAA"/>
    <w:rsid w:val="00677D69"/>
    <w:rsid w:val="006872C3"/>
    <w:rsid w:val="006923A5"/>
    <w:rsid w:val="00694C95"/>
    <w:rsid w:val="006A0716"/>
    <w:rsid w:val="006A1690"/>
    <w:rsid w:val="006A2187"/>
    <w:rsid w:val="006B233D"/>
    <w:rsid w:val="006B74A5"/>
    <w:rsid w:val="006C0B80"/>
    <w:rsid w:val="006D125A"/>
    <w:rsid w:val="006D6BA5"/>
    <w:rsid w:val="006D6F8D"/>
    <w:rsid w:val="006F1A56"/>
    <w:rsid w:val="006F304D"/>
    <w:rsid w:val="00717DAE"/>
    <w:rsid w:val="00731157"/>
    <w:rsid w:val="007426A0"/>
    <w:rsid w:val="00750999"/>
    <w:rsid w:val="0077514C"/>
    <w:rsid w:val="007A3B0A"/>
    <w:rsid w:val="007C3A87"/>
    <w:rsid w:val="007E4A9D"/>
    <w:rsid w:val="007F1E48"/>
    <w:rsid w:val="00820ED0"/>
    <w:rsid w:val="008371E1"/>
    <w:rsid w:val="008525FD"/>
    <w:rsid w:val="00871886"/>
    <w:rsid w:val="00886A3D"/>
    <w:rsid w:val="00891B54"/>
    <w:rsid w:val="008946E4"/>
    <w:rsid w:val="008A11F7"/>
    <w:rsid w:val="008B3BF5"/>
    <w:rsid w:val="008C617B"/>
    <w:rsid w:val="008C655D"/>
    <w:rsid w:val="008D194D"/>
    <w:rsid w:val="009004D8"/>
    <w:rsid w:val="00956573"/>
    <w:rsid w:val="00960CDF"/>
    <w:rsid w:val="0096250F"/>
    <w:rsid w:val="00971B7C"/>
    <w:rsid w:val="00980529"/>
    <w:rsid w:val="009820BB"/>
    <w:rsid w:val="00987358"/>
    <w:rsid w:val="00987A8F"/>
    <w:rsid w:val="00987CCE"/>
    <w:rsid w:val="00990B2E"/>
    <w:rsid w:val="00993646"/>
    <w:rsid w:val="009B2C63"/>
    <w:rsid w:val="009C64DB"/>
    <w:rsid w:val="009E193A"/>
    <w:rsid w:val="009E3A1B"/>
    <w:rsid w:val="009E4D7D"/>
    <w:rsid w:val="009E5C9B"/>
    <w:rsid w:val="009F78A5"/>
    <w:rsid w:val="00A000E6"/>
    <w:rsid w:val="00A0124D"/>
    <w:rsid w:val="00A05950"/>
    <w:rsid w:val="00A14216"/>
    <w:rsid w:val="00A14C2A"/>
    <w:rsid w:val="00A21707"/>
    <w:rsid w:val="00A23863"/>
    <w:rsid w:val="00A300DA"/>
    <w:rsid w:val="00A4440D"/>
    <w:rsid w:val="00A56B5C"/>
    <w:rsid w:val="00A72073"/>
    <w:rsid w:val="00A8086A"/>
    <w:rsid w:val="00A96069"/>
    <w:rsid w:val="00AC0926"/>
    <w:rsid w:val="00AD1ADE"/>
    <w:rsid w:val="00AD576F"/>
    <w:rsid w:val="00AD6114"/>
    <w:rsid w:val="00AE7B66"/>
    <w:rsid w:val="00B15442"/>
    <w:rsid w:val="00B17F0B"/>
    <w:rsid w:val="00B338CD"/>
    <w:rsid w:val="00B44565"/>
    <w:rsid w:val="00B666B9"/>
    <w:rsid w:val="00B72B00"/>
    <w:rsid w:val="00B76498"/>
    <w:rsid w:val="00BA1FF7"/>
    <w:rsid w:val="00BB6E43"/>
    <w:rsid w:val="00BE31DE"/>
    <w:rsid w:val="00C012E0"/>
    <w:rsid w:val="00C03DF8"/>
    <w:rsid w:val="00C26311"/>
    <w:rsid w:val="00C31B0E"/>
    <w:rsid w:val="00C32266"/>
    <w:rsid w:val="00C42E4C"/>
    <w:rsid w:val="00C843E1"/>
    <w:rsid w:val="00C95FF3"/>
    <w:rsid w:val="00C9689B"/>
    <w:rsid w:val="00CA2F8C"/>
    <w:rsid w:val="00CA58AB"/>
    <w:rsid w:val="00CB1EF1"/>
    <w:rsid w:val="00CB1F2C"/>
    <w:rsid w:val="00CC0BA0"/>
    <w:rsid w:val="00CE070E"/>
    <w:rsid w:val="00D00F05"/>
    <w:rsid w:val="00D03D36"/>
    <w:rsid w:val="00D244A7"/>
    <w:rsid w:val="00D27A70"/>
    <w:rsid w:val="00D43DEF"/>
    <w:rsid w:val="00D45146"/>
    <w:rsid w:val="00D61186"/>
    <w:rsid w:val="00D61EFE"/>
    <w:rsid w:val="00D644E9"/>
    <w:rsid w:val="00D74E9E"/>
    <w:rsid w:val="00D83F28"/>
    <w:rsid w:val="00D904AB"/>
    <w:rsid w:val="00D9323D"/>
    <w:rsid w:val="00DC1223"/>
    <w:rsid w:val="00DE026D"/>
    <w:rsid w:val="00DE1909"/>
    <w:rsid w:val="00E010D2"/>
    <w:rsid w:val="00E16BFA"/>
    <w:rsid w:val="00E20CD0"/>
    <w:rsid w:val="00E26C9E"/>
    <w:rsid w:val="00E34F3E"/>
    <w:rsid w:val="00E54616"/>
    <w:rsid w:val="00E6224A"/>
    <w:rsid w:val="00E977EE"/>
    <w:rsid w:val="00EC2427"/>
    <w:rsid w:val="00EC6EB6"/>
    <w:rsid w:val="00ED540F"/>
    <w:rsid w:val="00EF5EE0"/>
    <w:rsid w:val="00F05BAA"/>
    <w:rsid w:val="00F1696D"/>
    <w:rsid w:val="00F27F06"/>
    <w:rsid w:val="00F27FF9"/>
    <w:rsid w:val="00F32CFF"/>
    <w:rsid w:val="00F67ADC"/>
    <w:rsid w:val="00F723AB"/>
    <w:rsid w:val="00F85FD8"/>
    <w:rsid w:val="00F8670E"/>
    <w:rsid w:val="00F961B6"/>
    <w:rsid w:val="00FA48EA"/>
    <w:rsid w:val="00FB722A"/>
    <w:rsid w:val="00FC3477"/>
    <w:rsid w:val="00FC4A3C"/>
    <w:rsid w:val="00FD01EC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A18A"/>
  <w15:docId w15:val="{69050E85-DE11-4AE9-99B5-A20E2F51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6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C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D27A70"/>
    <w:pPr>
      <w:ind w:left="720"/>
      <w:contextualSpacing/>
    </w:pPr>
  </w:style>
  <w:style w:type="character" w:customStyle="1" w:styleId="highlight">
    <w:name w:val="highlight"/>
    <w:basedOn w:val="Domylnaczcionkaakapitu"/>
    <w:rsid w:val="006F304D"/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B72B00"/>
  </w:style>
  <w:style w:type="character" w:styleId="Hipercze">
    <w:name w:val="Hyperlink"/>
    <w:basedOn w:val="Domylnaczcionkaakapitu"/>
    <w:uiPriority w:val="99"/>
    <w:semiHidden/>
    <w:unhideWhenUsed/>
    <w:rsid w:val="00B72B00"/>
    <w:rPr>
      <w:color w:val="0000FF"/>
      <w:u w:val="single"/>
    </w:rPr>
  </w:style>
  <w:style w:type="paragraph" w:customStyle="1" w:styleId="Default">
    <w:name w:val="Default"/>
    <w:rsid w:val="00217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F381-D034-4E23-956C-A7EBABB2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314</cp:revision>
  <cp:lastPrinted>2023-03-06T14:01:00Z</cp:lastPrinted>
  <dcterms:created xsi:type="dcterms:W3CDTF">2019-08-26T07:16:00Z</dcterms:created>
  <dcterms:modified xsi:type="dcterms:W3CDTF">2024-07-09T11:35:00Z</dcterms:modified>
</cp:coreProperties>
</file>