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EC" w:rsidRPr="005761EC" w:rsidRDefault="005761EC" w:rsidP="005761EC">
      <w:pPr>
        <w:pStyle w:val="Nagwek1"/>
        <w:jc w:val="left"/>
        <w:rPr>
          <w:sz w:val="24"/>
          <w:szCs w:val="24"/>
        </w:rPr>
      </w:pPr>
      <w:r w:rsidRPr="005761EC">
        <w:rPr>
          <w:sz w:val="24"/>
          <w:szCs w:val="24"/>
        </w:rPr>
        <w:t>D-04.04.01  PODBUDOWA  Z  KRUSZYWA  NATURALNEGO</w:t>
      </w:r>
    </w:p>
    <w:p w:rsidR="005761EC" w:rsidRPr="00711031" w:rsidRDefault="005761EC" w:rsidP="005761EC">
      <w:pPr>
        <w:pStyle w:val="Nagwek1"/>
        <w:jc w:val="left"/>
        <w:rPr>
          <w:sz w:val="24"/>
          <w:szCs w:val="24"/>
        </w:rPr>
      </w:pPr>
      <w:r w:rsidRPr="00711031">
        <w:rPr>
          <w:sz w:val="24"/>
          <w:szCs w:val="24"/>
        </w:rPr>
        <w:t>1. WSTĘP</w:t>
      </w:r>
    </w:p>
    <w:p w:rsidR="005761EC" w:rsidRPr="00711031" w:rsidRDefault="005761EC" w:rsidP="005761EC">
      <w:pPr>
        <w:pStyle w:val="Nagwek2"/>
        <w:rPr>
          <w:sz w:val="24"/>
          <w:szCs w:val="24"/>
        </w:rPr>
      </w:pPr>
      <w:r w:rsidRPr="00711031">
        <w:rPr>
          <w:sz w:val="24"/>
          <w:szCs w:val="24"/>
        </w:rPr>
        <w:t>1.1. Przedmiot SST</w:t>
      </w:r>
    </w:p>
    <w:p w:rsidR="005761EC" w:rsidRPr="000C5DEC" w:rsidRDefault="005761EC" w:rsidP="005761EC">
      <w:pPr>
        <w:pStyle w:val="tekstost"/>
        <w:rPr>
          <w:b/>
          <w:sz w:val="24"/>
          <w:szCs w:val="24"/>
        </w:rPr>
      </w:pPr>
      <w:r w:rsidRPr="00711031">
        <w:rPr>
          <w:sz w:val="24"/>
          <w:szCs w:val="24"/>
        </w:rPr>
        <w:tab/>
        <w:t xml:space="preserve">Przedmiotem niniejszej szczegółowej  specyfikacji technicznej SST są wymagania ogólne dotyczące wykonania i odbioru robót związanych z wykonywaniem podbudowy z kruszywa naturalnego w ramach kontraktu </w:t>
      </w:r>
      <w:r>
        <w:rPr>
          <w:sz w:val="24"/>
          <w:szCs w:val="24"/>
        </w:rPr>
        <w:t xml:space="preserve">: </w:t>
      </w:r>
      <w:r w:rsidRPr="000C5DEC">
        <w:rPr>
          <w:b/>
          <w:sz w:val="24"/>
          <w:szCs w:val="24"/>
        </w:rPr>
        <w:t>„</w:t>
      </w:r>
      <w:r w:rsidRPr="000C5DEC">
        <w:rPr>
          <w:b/>
          <w:color w:val="000000"/>
          <w:sz w:val="24"/>
          <w:szCs w:val="24"/>
        </w:rPr>
        <w:t xml:space="preserve">Przebudowa </w:t>
      </w:r>
      <w:r w:rsidRPr="000C5DEC">
        <w:rPr>
          <w:b/>
          <w:sz w:val="24"/>
          <w:szCs w:val="24"/>
        </w:rPr>
        <w:t>chodnika na odcinku od ul. Rataja 9 do ul. Kościuszki 5A wraz z utwardzeniem terenu i drogi dojazdowej przy budynku ul. Warszawskiej 2A w Nidzicy”.</w:t>
      </w:r>
    </w:p>
    <w:p w:rsidR="005761EC" w:rsidRPr="00711031" w:rsidRDefault="005761EC" w:rsidP="005761EC">
      <w:pPr>
        <w:pStyle w:val="tekstost"/>
        <w:rPr>
          <w:b/>
          <w:sz w:val="24"/>
          <w:szCs w:val="24"/>
        </w:rPr>
      </w:pPr>
    </w:p>
    <w:p w:rsidR="005761EC" w:rsidRPr="00711031" w:rsidRDefault="005761EC" w:rsidP="005761EC">
      <w:r w:rsidRPr="00711031">
        <w:tab/>
        <w:t>Ustalenia zawarte w niniejszej specyfikacji dotyczą zasad prowadzenia robót związanych z wykonywaniem podbudów z kruszyw  naturalnych stabilizowanych mechanicznie wg PN-S-06102 [21] .</w:t>
      </w:r>
    </w:p>
    <w:p w:rsidR="005761EC" w:rsidRDefault="005761EC" w:rsidP="005761EC">
      <w:r w:rsidRPr="00711031">
        <w:tab/>
        <w:t>Podbudowę z kruszyw stabilizowanych mechanicznie wykonuje się, zgodnie z ustaleniami podanymi w dokumentacji projektowej, jako podbudowę pomocniczą i podbudowę zasadniczą wg Katalogu typowych konstrukcji nawierzchni podatnych i półsztywnych [31].</w:t>
      </w:r>
    </w:p>
    <w:p w:rsidR="005761EC" w:rsidRPr="00711031" w:rsidRDefault="005761EC" w:rsidP="005761EC"/>
    <w:p w:rsidR="005761EC" w:rsidRPr="005761EC" w:rsidRDefault="005761EC" w:rsidP="005761EC">
      <w:pPr>
        <w:tabs>
          <w:tab w:val="right" w:leader="dot" w:pos="-1985"/>
          <w:tab w:val="left" w:pos="426"/>
          <w:tab w:val="right" w:leader="dot" w:pos="8505"/>
        </w:tabs>
        <w:rPr>
          <w:b/>
        </w:rPr>
      </w:pPr>
      <w:r w:rsidRPr="005761EC">
        <w:rPr>
          <w:b/>
        </w:rPr>
        <w:t>Rodzaj robót:</w:t>
      </w:r>
    </w:p>
    <w:p w:rsidR="005761EC" w:rsidRPr="005761EC" w:rsidRDefault="005761EC" w:rsidP="005761EC">
      <w:pPr>
        <w:ind w:left="360"/>
      </w:pPr>
      <w:r w:rsidRPr="005761EC">
        <w:t xml:space="preserve">-  podbudowa z kruszywa naturalnego  stabilizowanego mechanicznie  (pod chodnik)  gr. 10 </w:t>
      </w:r>
      <w:proofErr w:type="spellStart"/>
      <w:r w:rsidRPr="005761EC">
        <w:t>cm</w:t>
      </w:r>
      <w:proofErr w:type="spellEnd"/>
      <w:r>
        <w:t xml:space="preserve">. </w:t>
      </w:r>
      <w:r w:rsidRPr="005761EC">
        <w:t xml:space="preserve"> </w:t>
      </w:r>
    </w:p>
    <w:p w:rsidR="005761EC" w:rsidRPr="00711031" w:rsidRDefault="005761EC" w:rsidP="005761EC">
      <w:pPr>
        <w:ind w:left="360"/>
        <w:rPr>
          <w:b/>
        </w:rPr>
      </w:pPr>
    </w:p>
    <w:p w:rsidR="005761EC" w:rsidRPr="00711031" w:rsidRDefault="005761EC" w:rsidP="005761EC">
      <w:pPr>
        <w:pStyle w:val="Nagwek1"/>
        <w:rPr>
          <w:sz w:val="24"/>
          <w:szCs w:val="24"/>
        </w:rPr>
      </w:pPr>
      <w:r w:rsidRPr="00711031">
        <w:rPr>
          <w:sz w:val="24"/>
          <w:szCs w:val="24"/>
        </w:rPr>
        <w:t>2. materiały</w:t>
      </w:r>
    </w:p>
    <w:p w:rsidR="005761EC" w:rsidRPr="00711031" w:rsidRDefault="005761EC" w:rsidP="005761EC">
      <w:pPr>
        <w:pStyle w:val="Nagwek2"/>
        <w:rPr>
          <w:sz w:val="24"/>
          <w:szCs w:val="24"/>
        </w:rPr>
      </w:pPr>
      <w:r w:rsidRPr="00711031">
        <w:rPr>
          <w:sz w:val="24"/>
          <w:szCs w:val="24"/>
        </w:rPr>
        <w:t>2.1. Wymagania dla materiałów</w:t>
      </w:r>
    </w:p>
    <w:p w:rsidR="005761EC" w:rsidRPr="00711031" w:rsidRDefault="005761EC" w:rsidP="005761EC">
      <w:pPr>
        <w:framePr w:hSpace="141" w:wrap="around" w:vAnchor="text" w:hAnchor="page" w:x="2409" w:y="756"/>
      </w:pPr>
    </w:p>
    <w:p w:rsidR="005761EC" w:rsidRPr="00711031" w:rsidRDefault="005761EC" w:rsidP="005761EC">
      <w:r w:rsidRPr="00711031">
        <w:tab/>
      </w:r>
    </w:p>
    <w:p w:rsidR="005761EC" w:rsidRPr="00711031" w:rsidRDefault="005761EC" w:rsidP="005761EC">
      <w:r w:rsidRPr="00711031">
        <w:rPr>
          <w:b/>
        </w:rPr>
        <w:t xml:space="preserve">2.1.1. </w:t>
      </w:r>
      <w:r w:rsidRPr="00711031">
        <w:t>Materiał na warstwę podbudowy</w:t>
      </w:r>
    </w:p>
    <w:p w:rsidR="005761EC" w:rsidRPr="00711031" w:rsidRDefault="005761EC" w:rsidP="005761EC">
      <w:pPr>
        <w:spacing w:before="120"/>
      </w:pPr>
      <w:r w:rsidRPr="00711031">
        <w:t>-żwir i mieszankę wg PN-B-11111 [14],</w:t>
      </w:r>
    </w:p>
    <w:p w:rsidR="005761EC" w:rsidRPr="00711031" w:rsidRDefault="005761EC" w:rsidP="005761EC">
      <w:pPr>
        <w:numPr>
          <w:ilvl w:val="0"/>
          <w:numId w:val="2"/>
        </w:numPr>
        <w:ind w:firstLine="0"/>
      </w:pPr>
      <w:r w:rsidRPr="00711031">
        <w:t>piasek wg PN-B-11113 [16].</w:t>
      </w:r>
    </w:p>
    <w:p w:rsidR="005761EC" w:rsidRPr="00711031" w:rsidRDefault="005761EC" w:rsidP="005761EC">
      <w:pPr>
        <w:spacing w:before="120"/>
      </w:pPr>
      <w:r w:rsidRPr="00711031">
        <w:tab/>
        <w:t>Należy stosować wodę wg PN-B-32250 [20].</w:t>
      </w:r>
    </w:p>
    <w:p w:rsidR="005761EC" w:rsidRPr="00711031" w:rsidRDefault="005761EC" w:rsidP="005761EC">
      <w:pPr>
        <w:pStyle w:val="Nagwek1"/>
        <w:rPr>
          <w:sz w:val="24"/>
          <w:szCs w:val="24"/>
        </w:rPr>
      </w:pPr>
      <w:r w:rsidRPr="00711031">
        <w:rPr>
          <w:sz w:val="24"/>
          <w:szCs w:val="24"/>
        </w:rPr>
        <w:t>3. sprzęt</w:t>
      </w:r>
    </w:p>
    <w:p w:rsidR="005761EC" w:rsidRPr="00711031" w:rsidRDefault="005761EC" w:rsidP="005761EC">
      <w:r w:rsidRPr="00711031">
        <w:tab/>
        <w:t>Wykonawca przystępujący do wykonania podbudowy z kruszyw stabilizowanych mechanicznie  powinien wykazać się możliwością korzystania z następującego sprzętu:</w:t>
      </w:r>
    </w:p>
    <w:p w:rsidR="005761EC" w:rsidRPr="00711031" w:rsidRDefault="005761EC" w:rsidP="005761EC">
      <w:pPr>
        <w:numPr>
          <w:ilvl w:val="0"/>
          <w:numId w:val="3"/>
        </w:numPr>
        <w:ind w:firstLine="0"/>
      </w:pPr>
      <w:r w:rsidRPr="00711031">
        <w:t>mieszarek do wytwarzania mieszanki, wyposażonych w urządzenia dozujące wodę. Mieszarki powinny zapewnić wytworzenie jednorodnej mieszanki o wilgotności optymalnej,</w:t>
      </w:r>
    </w:p>
    <w:p w:rsidR="005761EC" w:rsidRPr="00711031" w:rsidRDefault="005761EC" w:rsidP="005761EC">
      <w:pPr>
        <w:numPr>
          <w:ilvl w:val="0"/>
          <w:numId w:val="3"/>
        </w:numPr>
        <w:ind w:firstLine="0"/>
      </w:pPr>
      <w:r w:rsidRPr="00711031">
        <w:t>równiarek albo układarek do rozkładania mieszanki,</w:t>
      </w:r>
    </w:p>
    <w:p w:rsidR="005761EC" w:rsidRPr="00711031" w:rsidRDefault="005761EC" w:rsidP="005761EC">
      <w:pPr>
        <w:numPr>
          <w:ilvl w:val="0"/>
          <w:numId w:val="3"/>
        </w:numPr>
        <w:ind w:firstLine="0"/>
      </w:pPr>
      <w:r w:rsidRPr="00711031">
        <w:t>walców ogumionych i stalowych wibracyjnych lub statycznych do zagęszczania. W miejscach trudno dostępnych powinny być stosowane zagęszczarki płytowe, ubijaki mechaniczne lub małe walce wibracyjne.</w:t>
      </w:r>
    </w:p>
    <w:p w:rsidR="005761EC" w:rsidRPr="00711031" w:rsidRDefault="005761EC" w:rsidP="005761EC">
      <w:pPr>
        <w:pStyle w:val="Nagwek1"/>
        <w:rPr>
          <w:sz w:val="24"/>
          <w:szCs w:val="24"/>
        </w:rPr>
      </w:pPr>
      <w:r w:rsidRPr="00711031">
        <w:rPr>
          <w:sz w:val="24"/>
          <w:szCs w:val="24"/>
        </w:rPr>
        <w:t>4. transport</w:t>
      </w:r>
    </w:p>
    <w:p w:rsidR="005761EC" w:rsidRPr="00711031" w:rsidRDefault="005761EC" w:rsidP="005761EC">
      <w:r w:rsidRPr="00711031">
        <w:tab/>
        <w:t>Kruszywa można przewozić dowolnymi środkami transportu w warunkach zabezpieczających je przed zanieczyszczeniem, zmieszaniem z innymi materiałami, nadmiernym wysuszeniem i zawilgoceniem.</w:t>
      </w:r>
    </w:p>
    <w:p w:rsidR="005761EC" w:rsidRPr="00711031" w:rsidRDefault="005761EC" w:rsidP="005761EC">
      <w:r w:rsidRPr="00711031">
        <w:tab/>
        <w:t>Transport cementu powinien odbywać się zgodnie z BN-88/6731-08 [24].</w:t>
      </w:r>
    </w:p>
    <w:p w:rsidR="005761EC" w:rsidRPr="00711031" w:rsidRDefault="005761EC" w:rsidP="005761EC">
      <w:r w:rsidRPr="00711031">
        <w:tab/>
        <w:t>Transport pozostałych materiałów powinien odbywać się zgodnie z wymaganiami norm przedmiotowych.</w:t>
      </w:r>
    </w:p>
    <w:p w:rsidR="005761EC" w:rsidRPr="00711031" w:rsidRDefault="005761EC" w:rsidP="005761EC">
      <w:pPr>
        <w:pStyle w:val="Nagwek1"/>
        <w:rPr>
          <w:sz w:val="24"/>
          <w:szCs w:val="24"/>
        </w:rPr>
      </w:pPr>
      <w:r w:rsidRPr="00711031">
        <w:rPr>
          <w:sz w:val="24"/>
          <w:szCs w:val="24"/>
        </w:rPr>
        <w:lastRenderedPageBreak/>
        <w:t>5. wykonanie robót</w:t>
      </w:r>
    </w:p>
    <w:p w:rsidR="005761EC" w:rsidRPr="00711031" w:rsidRDefault="005761EC" w:rsidP="005761EC">
      <w:pPr>
        <w:pStyle w:val="Nagwek2"/>
        <w:rPr>
          <w:sz w:val="24"/>
          <w:szCs w:val="24"/>
        </w:rPr>
      </w:pPr>
      <w:r w:rsidRPr="00711031">
        <w:rPr>
          <w:sz w:val="24"/>
          <w:szCs w:val="24"/>
        </w:rPr>
        <w:t>5.1. Ogólne zasady wykonania robót</w:t>
      </w:r>
    </w:p>
    <w:p w:rsidR="005761EC" w:rsidRPr="00711031" w:rsidRDefault="005761EC" w:rsidP="005761EC">
      <w:r w:rsidRPr="00711031">
        <w:tab/>
        <w:t xml:space="preserve">Ogólne zasady wykonania robót podano w SST D-00.00.00 „Wymagania ogólne” </w:t>
      </w:r>
      <w:proofErr w:type="spellStart"/>
      <w:r w:rsidRPr="00711031">
        <w:t>pkt</w:t>
      </w:r>
      <w:proofErr w:type="spellEnd"/>
      <w:r w:rsidRPr="00711031">
        <w:t xml:space="preserve"> 5.</w:t>
      </w:r>
    </w:p>
    <w:p w:rsidR="005761EC" w:rsidRPr="00711031" w:rsidRDefault="005761EC" w:rsidP="005761EC">
      <w:pPr>
        <w:pStyle w:val="Nagwek2"/>
        <w:rPr>
          <w:sz w:val="24"/>
          <w:szCs w:val="24"/>
        </w:rPr>
      </w:pPr>
      <w:r w:rsidRPr="00711031">
        <w:rPr>
          <w:sz w:val="24"/>
          <w:szCs w:val="24"/>
        </w:rPr>
        <w:t>5.2. Przygotowanie podłoża</w:t>
      </w:r>
    </w:p>
    <w:p w:rsidR="005761EC" w:rsidRPr="00711031" w:rsidRDefault="005761EC" w:rsidP="005761EC">
      <w:r w:rsidRPr="00711031">
        <w:tab/>
        <w:t>Podłoże pod podbudowę powinno spełniać wymagania określone w SST  D-04.01.01 „Koryto wraz z profilowaniem i zagęszczeniem podłoża”</w:t>
      </w:r>
    </w:p>
    <w:p w:rsidR="005761EC" w:rsidRPr="00711031" w:rsidRDefault="005761EC" w:rsidP="005761EC">
      <w:r w:rsidRPr="00711031">
        <w:tab/>
        <w:t>Podbudowa powinna być ułożona na podłożu zapewniającym nieprzenikanie drobnych cząstek gruntu do podbudowy. Warunek nieprzenikania należy sprawdzić wzorem:</w:t>
      </w:r>
    </w:p>
    <w:p w:rsidR="005761EC" w:rsidRPr="00711031" w:rsidRDefault="005761EC" w:rsidP="005761EC">
      <w:r w:rsidRPr="00711031">
        <w:tab/>
      </w:r>
      <w:r w:rsidRPr="00711031">
        <w:tab/>
      </w:r>
      <w:r w:rsidRPr="00711031">
        <w:tab/>
      </w:r>
      <w:r w:rsidRPr="00711031">
        <w:rPr>
          <w:position w:val="-28"/>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5" o:title=""/>
          </v:shape>
          <o:OLEObject Type="Embed" ProgID="Equation.3" ShapeID="_x0000_i1025" DrawAspect="Content" ObjectID="_1409045182" r:id="rId6"/>
        </w:object>
      </w:r>
      <w:r w:rsidRPr="00711031">
        <w:t xml:space="preserve">  </w:t>
      </w:r>
      <w:r w:rsidRPr="00711031">
        <w:sym w:font="Symbol" w:char="F0A3"/>
      </w:r>
      <w:r w:rsidRPr="00711031">
        <w:t xml:space="preserve">  5</w:t>
      </w:r>
      <w:r w:rsidRPr="00711031">
        <w:tab/>
      </w:r>
      <w:r w:rsidRPr="00711031">
        <w:tab/>
        <w:t>(1)</w:t>
      </w:r>
    </w:p>
    <w:p w:rsidR="005761EC" w:rsidRPr="00711031" w:rsidRDefault="005761EC" w:rsidP="005761EC">
      <w:r w:rsidRPr="00711031">
        <w:t>w którym:</w:t>
      </w:r>
    </w:p>
    <w:p w:rsidR="005761EC" w:rsidRPr="00711031" w:rsidRDefault="005761EC" w:rsidP="005761EC">
      <w:pPr>
        <w:tabs>
          <w:tab w:val="left" w:pos="426"/>
        </w:tabs>
        <w:ind w:left="426"/>
      </w:pPr>
      <w:r w:rsidRPr="00711031">
        <w:rPr>
          <w:i/>
        </w:rPr>
        <w:t>D</w:t>
      </w:r>
      <w:r w:rsidRPr="00711031">
        <w:rPr>
          <w:vertAlign w:val="subscript"/>
        </w:rPr>
        <w:t>15</w:t>
      </w:r>
      <w:r w:rsidRPr="00711031">
        <w:t xml:space="preserve"> -</w:t>
      </w:r>
      <w:r w:rsidRPr="00711031">
        <w:tab/>
        <w:t xml:space="preserve">wymiar boku oczka sita, przez które przechodzi 15% </w:t>
      </w:r>
      <w:proofErr w:type="spellStart"/>
      <w:r w:rsidRPr="00711031">
        <w:t>ziarn</w:t>
      </w:r>
      <w:proofErr w:type="spellEnd"/>
      <w:r w:rsidRPr="00711031">
        <w:t xml:space="preserve"> warstwy podbudowy lub warstwy odsączającej, w milimetrach,</w:t>
      </w:r>
    </w:p>
    <w:p w:rsidR="005761EC" w:rsidRPr="00711031" w:rsidRDefault="005761EC" w:rsidP="005761EC">
      <w:pPr>
        <w:tabs>
          <w:tab w:val="left" w:pos="426"/>
        </w:tabs>
        <w:ind w:left="426"/>
      </w:pPr>
      <w:r w:rsidRPr="00711031">
        <w:rPr>
          <w:i/>
        </w:rPr>
        <w:t>d</w:t>
      </w:r>
      <w:r w:rsidRPr="00711031">
        <w:rPr>
          <w:vertAlign w:val="subscript"/>
        </w:rPr>
        <w:t>85</w:t>
      </w:r>
      <w:r w:rsidRPr="00711031">
        <w:t xml:space="preserve"> -</w:t>
      </w:r>
      <w:r w:rsidRPr="00711031">
        <w:tab/>
        <w:t xml:space="preserve">wymiar boku oczka sita, przez które przechodzi 85% </w:t>
      </w:r>
      <w:proofErr w:type="spellStart"/>
      <w:r w:rsidRPr="00711031">
        <w:t>ziarn</w:t>
      </w:r>
      <w:proofErr w:type="spellEnd"/>
      <w:r w:rsidRPr="00711031">
        <w:t xml:space="preserve"> gruntu podłoża,                      w milimetrach.</w:t>
      </w:r>
    </w:p>
    <w:p w:rsidR="005761EC" w:rsidRPr="00711031" w:rsidRDefault="005761EC" w:rsidP="005761EC">
      <w:r w:rsidRPr="00711031">
        <w:tab/>
        <w:t xml:space="preserve">Jeżeli warunek (1) nie może być spełniony, należy na podłożu ułożyć warstwę odcinającą lub odpowiednio dobraną </w:t>
      </w:r>
      <w:proofErr w:type="spellStart"/>
      <w:r w:rsidRPr="00711031">
        <w:t>geowłókninę</w:t>
      </w:r>
      <w:proofErr w:type="spellEnd"/>
      <w:r w:rsidRPr="00711031">
        <w:t xml:space="preserve">. Ochronne właściwości </w:t>
      </w:r>
      <w:proofErr w:type="spellStart"/>
      <w:r w:rsidRPr="00711031">
        <w:t>geowłókniny</w:t>
      </w:r>
      <w:proofErr w:type="spellEnd"/>
      <w:r w:rsidRPr="00711031">
        <w:t>, przeciw przenikaniu drobnych cząstek gruntu, wyznacza się z warunku:</w:t>
      </w:r>
    </w:p>
    <w:p w:rsidR="005761EC" w:rsidRPr="00711031" w:rsidRDefault="005761EC" w:rsidP="005761EC">
      <w:r w:rsidRPr="00711031">
        <w:tab/>
      </w:r>
      <w:r w:rsidRPr="00711031">
        <w:tab/>
      </w:r>
      <w:r w:rsidRPr="00711031">
        <w:tab/>
      </w:r>
      <w:r w:rsidRPr="00711031">
        <w:rPr>
          <w:position w:val="-28"/>
        </w:rPr>
        <w:object w:dxaOrig="460" w:dyaOrig="820">
          <v:shape id="_x0000_i1026" type="#_x0000_t75" style="width:23.25pt;height:41.25pt" o:ole="">
            <v:imagedata r:id="rId7" o:title=""/>
          </v:shape>
          <o:OLEObject Type="Embed" ProgID="Equation.3" ShapeID="_x0000_i1026" DrawAspect="Content" ObjectID="_1409045183" r:id="rId8"/>
        </w:object>
      </w:r>
      <w:r w:rsidRPr="00711031">
        <w:t xml:space="preserve">  </w:t>
      </w:r>
      <w:r w:rsidRPr="00711031">
        <w:sym w:font="Symbol" w:char="F0A3"/>
      </w:r>
      <w:r w:rsidRPr="00711031">
        <w:t xml:space="preserve">  1,2</w:t>
      </w:r>
      <w:r w:rsidRPr="00711031">
        <w:tab/>
      </w:r>
      <w:r w:rsidRPr="00711031">
        <w:tab/>
        <w:t>(2)</w:t>
      </w:r>
    </w:p>
    <w:p w:rsidR="005761EC" w:rsidRPr="00711031" w:rsidRDefault="005761EC" w:rsidP="005761EC"/>
    <w:p w:rsidR="005761EC" w:rsidRPr="00711031" w:rsidRDefault="005761EC" w:rsidP="005761EC"/>
    <w:p w:rsidR="005761EC" w:rsidRPr="00711031" w:rsidRDefault="005761EC" w:rsidP="005761EC">
      <w:r w:rsidRPr="00711031">
        <w:t>w którym:</w:t>
      </w:r>
    </w:p>
    <w:p w:rsidR="005761EC" w:rsidRPr="00711031" w:rsidRDefault="005761EC" w:rsidP="005761EC">
      <w:pPr>
        <w:tabs>
          <w:tab w:val="left" w:pos="426"/>
        </w:tabs>
        <w:ind w:left="426"/>
      </w:pPr>
      <w:r w:rsidRPr="00711031">
        <w:rPr>
          <w:i/>
        </w:rPr>
        <w:t>d</w:t>
      </w:r>
      <w:r w:rsidRPr="00711031">
        <w:rPr>
          <w:vertAlign w:val="subscript"/>
        </w:rPr>
        <w:t>50</w:t>
      </w:r>
      <w:r w:rsidRPr="00711031">
        <w:t xml:space="preserve"> -</w:t>
      </w:r>
      <w:r w:rsidRPr="00711031">
        <w:tab/>
        <w:t xml:space="preserve">wymiar boku oczka sita, przez które przechodzi 50 % </w:t>
      </w:r>
      <w:proofErr w:type="spellStart"/>
      <w:r w:rsidRPr="00711031">
        <w:t>ziarn</w:t>
      </w:r>
      <w:proofErr w:type="spellEnd"/>
      <w:r w:rsidRPr="00711031">
        <w:t xml:space="preserve"> gruntu podłoża,                     w milimetrach,</w:t>
      </w:r>
    </w:p>
    <w:p w:rsidR="005761EC" w:rsidRPr="00711031" w:rsidRDefault="005761EC" w:rsidP="005761EC">
      <w:pPr>
        <w:tabs>
          <w:tab w:val="left" w:pos="426"/>
        </w:tabs>
        <w:ind w:left="426"/>
      </w:pPr>
      <w:r w:rsidRPr="00711031">
        <w:rPr>
          <w:i/>
        </w:rPr>
        <w:t>O</w:t>
      </w:r>
      <w:r w:rsidRPr="00711031">
        <w:rPr>
          <w:vertAlign w:val="subscript"/>
        </w:rPr>
        <w:t>90</w:t>
      </w:r>
      <w:r w:rsidRPr="00711031">
        <w:t xml:space="preserve"> -</w:t>
      </w:r>
      <w:r w:rsidRPr="00711031">
        <w:tab/>
        <w:t xml:space="preserve">umowna średnica porów </w:t>
      </w:r>
      <w:proofErr w:type="spellStart"/>
      <w:r w:rsidRPr="00711031">
        <w:t>geowłókniny</w:t>
      </w:r>
      <w:proofErr w:type="spellEnd"/>
      <w:r w:rsidRPr="00711031">
        <w:t xml:space="preserve"> odpowiadająca wymiarom frakcji gruntu zatrzymująca się na </w:t>
      </w:r>
      <w:proofErr w:type="spellStart"/>
      <w:r w:rsidRPr="00711031">
        <w:t>geowłókninie</w:t>
      </w:r>
      <w:proofErr w:type="spellEnd"/>
      <w:r w:rsidRPr="00711031">
        <w:t xml:space="preserve"> w ilości 90% (m/m); wartość parametru 0</w:t>
      </w:r>
      <w:r w:rsidRPr="00711031">
        <w:rPr>
          <w:vertAlign w:val="subscript"/>
        </w:rPr>
        <w:t>90</w:t>
      </w:r>
      <w:r w:rsidRPr="00711031">
        <w:t xml:space="preserve"> powinna być podawana przez producenta </w:t>
      </w:r>
      <w:proofErr w:type="spellStart"/>
      <w:r w:rsidRPr="00711031">
        <w:t>geowłókniny</w:t>
      </w:r>
      <w:proofErr w:type="spellEnd"/>
      <w:r w:rsidRPr="00711031">
        <w:t>.</w:t>
      </w:r>
    </w:p>
    <w:p w:rsidR="005761EC" w:rsidRPr="00711031" w:rsidRDefault="005761EC" w:rsidP="005761EC">
      <w:r w:rsidRPr="00711031">
        <w:tab/>
        <w:t>Paliki lub szpilki do prawidłowego ukształtowania podbudowy powinny być wcześniej przygotowane.</w:t>
      </w:r>
    </w:p>
    <w:p w:rsidR="005761EC" w:rsidRPr="00711031" w:rsidRDefault="005761EC" w:rsidP="005761EC">
      <w:r w:rsidRPr="00711031">
        <w:tab/>
        <w:t>Paliki lub szpilki powinny być ustawione w osi drogi i w rzędach równoległych do osi drogi, lub w inny sposób zaakceptowany przez Inżyniera.</w:t>
      </w:r>
    </w:p>
    <w:p w:rsidR="005761EC" w:rsidRPr="00711031" w:rsidRDefault="005761EC" w:rsidP="005761EC">
      <w:r w:rsidRPr="00711031">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711031">
          <w:t>10 m</w:t>
        </w:r>
      </w:smartTag>
      <w:r w:rsidRPr="00711031">
        <w:t>.</w:t>
      </w:r>
    </w:p>
    <w:p w:rsidR="005761EC" w:rsidRPr="00711031" w:rsidRDefault="005761EC" w:rsidP="005761EC">
      <w:pPr>
        <w:pStyle w:val="Nagwek2"/>
        <w:rPr>
          <w:sz w:val="24"/>
          <w:szCs w:val="24"/>
        </w:rPr>
      </w:pPr>
      <w:r w:rsidRPr="00711031">
        <w:rPr>
          <w:sz w:val="24"/>
          <w:szCs w:val="24"/>
        </w:rPr>
        <w:t>5.3. Wytwarzanie mieszanki kruszywa</w:t>
      </w:r>
    </w:p>
    <w:p w:rsidR="005761EC" w:rsidRPr="00711031" w:rsidRDefault="005761EC" w:rsidP="005761EC">
      <w:r w:rsidRPr="00711031">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5761EC" w:rsidRPr="00711031" w:rsidRDefault="005761EC" w:rsidP="005761EC">
      <w:pPr>
        <w:pStyle w:val="Nagwek2"/>
        <w:rPr>
          <w:sz w:val="24"/>
          <w:szCs w:val="24"/>
        </w:rPr>
      </w:pPr>
      <w:r w:rsidRPr="00711031">
        <w:rPr>
          <w:sz w:val="24"/>
          <w:szCs w:val="24"/>
        </w:rPr>
        <w:t>5.4. Wbudowywanie i zagęszczanie mieszanki</w:t>
      </w:r>
    </w:p>
    <w:p w:rsidR="005761EC" w:rsidRPr="00711031" w:rsidRDefault="005761EC" w:rsidP="005761EC">
      <w:r w:rsidRPr="00711031">
        <w:tab/>
        <w:t xml:space="preserve">Mieszanka kruszywa powinna być rozkładana w warstwie o jednakowej grubości, takiej, aby jej ostateczna grubość po zagęszczeniu była równa grubości projektowanej. </w:t>
      </w:r>
      <w:r w:rsidRPr="00711031">
        <w:lastRenderedPageBreak/>
        <w:t xml:space="preserve">Grubość pojedynczo układanej warstwy nie może przekraczać </w:t>
      </w:r>
      <w:r>
        <w:t>1</w:t>
      </w:r>
      <w:r w:rsidRPr="00711031">
        <w:t>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5761EC" w:rsidRPr="00711031" w:rsidRDefault="005761EC" w:rsidP="005761EC">
      <w:r w:rsidRPr="00711031">
        <w:tab/>
        <w:t xml:space="preserve">Wilgotność mieszanki kruszywa podczas zagęszczania powinna odpowiadać wilgotności optymalnej, określonej według próby </w:t>
      </w:r>
      <w:proofErr w:type="spellStart"/>
      <w:r w:rsidRPr="00711031">
        <w:t>Proctora</w:t>
      </w:r>
      <w:proofErr w:type="spellEnd"/>
      <w:r w:rsidRPr="00711031">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5761EC" w:rsidRPr="00711031" w:rsidRDefault="005761EC" w:rsidP="005761EC">
      <w:r w:rsidRPr="00711031">
        <w:tab/>
        <w:t>Wskaźnik zagęszczenia podbudowy wg BN-77/8931-12 [29] powinien odpowiadać przyjętemu poziomowi wskaźnika nośności podbudowy wg tablicy 1, lp. 11.</w:t>
      </w:r>
    </w:p>
    <w:p w:rsidR="005761EC" w:rsidRPr="00711031" w:rsidRDefault="005761EC" w:rsidP="005761EC">
      <w:pPr>
        <w:pStyle w:val="Nagwek2"/>
        <w:rPr>
          <w:sz w:val="24"/>
          <w:szCs w:val="24"/>
        </w:rPr>
      </w:pPr>
      <w:r w:rsidRPr="00711031">
        <w:rPr>
          <w:sz w:val="24"/>
          <w:szCs w:val="24"/>
        </w:rPr>
        <w:t xml:space="preserve">5.5. Utrzymanie podbudowy </w:t>
      </w:r>
    </w:p>
    <w:p w:rsidR="005761EC" w:rsidRPr="00711031" w:rsidRDefault="005761EC" w:rsidP="005761EC">
      <w:r w:rsidRPr="00711031">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5761EC" w:rsidRPr="00711031" w:rsidRDefault="005761EC" w:rsidP="005761EC">
      <w:pPr>
        <w:pStyle w:val="Nagwek1"/>
        <w:rPr>
          <w:sz w:val="24"/>
          <w:szCs w:val="24"/>
        </w:rPr>
      </w:pPr>
      <w:r w:rsidRPr="00711031">
        <w:rPr>
          <w:sz w:val="24"/>
          <w:szCs w:val="24"/>
        </w:rPr>
        <w:t>6. kontrola jakości robót</w:t>
      </w:r>
    </w:p>
    <w:p w:rsidR="005761EC" w:rsidRPr="00711031" w:rsidRDefault="005761EC" w:rsidP="005761EC">
      <w:pPr>
        <w:pStyle w:val="Nagwek2"/>
        <w:rPr>
          <w:sz w:val="24"/>
          <w:szCs w:val="24"/>
        </w:rPr>
      </w:pPr>
      <w:r w:rsidRPr="00711031">
        <w:rPr>
          <w:sz w:val="24"/>
          <w:szCs w:val="24"/>
        </w:rPr>
        <w:t>6.1. Ogólne zasady kontroli jakości robót</w:t>
      </w:r>
    </w:p>
    <w:p w:rsidR="005761EC" w:rsidRPr="00711031" w:rsidRDefault="005761EC" w:rsidP="005761EC">
      <w:r w:rsidRPr="00711031">
        <w:tab/>
        <w:t xml:space="preserve">Ogólne zasady kontroli jakości robót podano w SST D-00.00.00 „Wymagania ogólne” </w:t>
      </w:r>
    </w:p>
    <w:p w:rsidR="005761EC" w:rsidRPr="00711031" w:rsidRDefault="005761EC" w:rsidP="005761EC">
      <w:proofErr w:type="spellStart"/>
      <w:r w:rsidRPr="00711031">
        <w:t>pkt</w:t>
      </w:r>
      <w:proofErr w:type="spellEnd"/>
      <w:r w:rsidRPr="00711031">
        <w:t xml:space="preserve"> 6.</w:t>
      </w:r>
    </w:p>
    <w:p w:rsidR="005761EC" w:rsidRPr="00711031" w:rsidRDefault="005761EC" w:rsidP="005761EC">
      <w:pPr>
        <w:pStyle w:val="Nagwek2"/>
        <w:rPr>
          <w:sz w:val="24"/>
          <w:szCs w:val="24"/>
        </w:rPr>
      </w:pPr>
      <w:r w:rsidRPr="00711031">
        <w:rPr>
          <w:sz w:val="24"/>
          <w:szCs w:val="24"/>
        </w:rPr>
        <w:t>6.2. Badania przed przystąpieniem do robót</w:t>
      </w:r>
    </w:p>
    <w:p w:rsidR="005761EC" w:rsidRPr="00711031" w:rsidRDefault="005761EC" w:rsidP="005761EC">
      <w:r w:rsidRPr="00711031">
        <w:tab/>
        <w:t xml:space="preserve">Przed przystąpieniem do robót Wykonawca powinien wykonać badania kruszyw  przeznaczonych do wykonania robót i przedstawić wyniki tych badań Inżynierowi w celu akceptacji materiałów. </w:t>
      </w:r>
    </w:p>
    <w:p w:rsidR="005761EC" w:rsidRPr="00711031" w:rsidRDefault="005761EC" w:rsidP="005761EC">
      <w:pPr>
        <w:pStyle w:val="Nagwek2"/>
        <w:rPr>
          <w:sz w:val="24"/>
          <w:szCs w:val="24"/>
        </w:rPr>
      </w:pPr>
      <w:r w:rsidRPr="00711031">
        <w:rPr>
          <w:sz w:val="24"/>
          <w:szCs w:val="24"/>
        </w:rPr>
        <w:t>6.3. Badania w czasie robót</w:t>
      </w:r>
    </w:p>
    <w:p w:rsidR="005761EC" w:rsidRPr="00711031" w:rsidRDefault="005761EC" w:rsidP="005761EC">
      <w:r w:rsidRPr="00711031">
        <w:rPr>
          <w:b/>
        </w:rPr>
        <w:t xml:space="preserve">6.3.1. </w:t>
      </w:r>
      <w:r w:rsidRPr="00711031">
        <w:t>Częstotliwość oraz zakres badań i pomiarów</w:t>
      </w:r>
    </w:p>
    <w:p w:rsidR="005761EC" w:rsidRPr="00711031" w:rsidRDefault="005761EC" w:rsidP="005761EC">
      <w:pPr>
        <w:spacing w:before="120"/>
      </w:pPr>
      <w:r w:rsidRPr="00711031">
        <w:tab/>
        <w:t>Częstotliwość oraz zakres badań  podano w tablicy 2.</w:t>
      </w:r>
    </w:p>
    <w:p w:rsidR="005761EC" w:rsidRPr="00711031" w:rsidRDefault="005761EC" w:rsidP="005761EC">
      <w:pPr>
        <w:spacing w:before="120"/>
      </w:pPr>
    </w:p>
    <w:p w:rsidR="005761EC" w:rsidRPr="00711031" w:rsidRDefault="005761EC" w:rsidP="005761EC">
      <w:pPr>
        <w:pStyle w:val="tekstost"/>
        <w:rPr>
          <w:sz w:val="24"/>
          <w:szCs w:val="24"/>
        </w:rPr>
      </w:pPr>
      <w:r w:rsidRPr="00711031">
        <w:rPr>
          <w:sz w:val="24"/>
          <w:szCs w:val="24"/>
        </w:rPr>
        <w:t>Tablica 2. Częstotliwość ora zakres  badań przy budowie podbudowy z kruszyw</w:t>
      </w:r>
    </w:p>
    <w:p w:rsidR="005761EC" w:rsidRPr="00711031" w:rsidRDefault="005761EC" w:rsidP="005761EC">
      <w:pPr>
        <w:pStyle w:val="tekstost"/>
        <w:spacing w:after="120"/>
        <w:rPr>
          <w:sz w:val="24"/>
          <w:szCs w:val="24"/>
        </w:rPr>
      </w:pPr>
      <w:r w:rsidRPr="00711031">
        <w:rPr>
          <w:sz w:val="24"/>
          <w:szCs w:val="24"/>
        </w:rPr>
        <w:tab/>
        <w:t xml:space="preserve">   stabilizowanych mechanicznie</w:t>
      </w:r>
    </w:p>
    <w:tbl>
      <w:tblPr>
        <w:tblW w:w="0" w:type="auto"/>
        <w:tblLayout w:type="fixed"/>
        <w:tblCellMar>
          <w:left w:w="70" w:type="dxa"/>
          <w:right w:w="70" w:type="dxa"/>
        </w:tblCellMar>
        <w:tblLook w:val="0000"/>
      </w:tblPr>
      <w:tblGrid>
        <w:gridCol w:w="496"/>
        <w:gridCol w:w="4394"/>
        <w:gridCol w:w="1309"/>
        <w:gridCol w:w="1311"/>
      </w:tblGrid>
      <w:tr w:rsidR="005761EC" w:rsidRPr="00711031" w:rsidTr="009F7B1B">
        <w:tblPrEx>
          <w:tblCellMar>
            <w:top w:w="0" w:type="dxa"/>
            <w:bottom w:w="0" w:type="dxa"/>
          </w:tblCellMar>
        </w:tblPrEx>
        <w:tc>
          <w:tcPr>
            <w:tcW w:w="496" w:type="dxa"/>
            <w:tcBorders>
              <w:top w:val="single" w:sz="6" w:space="0" w:color="auto"/>
              <w:left w:val="single" w:sz="6" w:space="0" w:color="auto"/>
            </w:tcBorders>
          </w:tcPr>
          <w:p w:rsidR="005761EC" w:rsidRPr="00711031" w:rsidRDefault="005761EC" w:rsidP="009F7B1B">
            <w:pPr>
              <w:pStyle w:val="tekstost"/>
              <w:jc w:val="center"/>
              <w:rPr>
                <w:sz w:val="24"/>
                <w:szCs w:val="24"/>
              </w:rPr>
            </w:pPr>
          </w:p>
        </w:tc>
        <w:tc>
          <w:tcPr>
            <w:tcW w:w="4394" w:type="dxa"/>
            <w:tcBorders>
              <w:top w:val="single" w:sz="6" w:space="0" w:color="auto"/>
              <w:left w:val="single" w:sz="6" w:space="0" w:color="auto"/>
            </w:tcBorders>
          </w:tcPr>
          <w:p w:rsidR="005761EC" w:rsidRPr="00711031" w:rsidRDefault="005761EC" w:rsidP="009F7B1B">
            <w:pPr>
              <w:pStyle w:val="tekstost"/>
              <w:jc w:val="center"/>
              <w:rPr>
                <w:sz w:val="24"/>
                <w:szCs w:val="24"/>
              </w:rPr>
            </w:pPr>
          </w:p>
        </w:tc>
        <w:tc>
          <w:tcPr>
            <w:tcW w:w="2620" w:type="dxa"/>
            <w:gridSpan w:val="2"/>
            <w:tcBorders>
              <w:top w:val="single" w:sz="6" w:space="0" w:color="auto"/>
              <w:left w:val="single" w:sz="6" w:space="0" w:color="auto"/>
              <w:bottom w:val="single" w:sz="6" w:space="0" w:color="auto"/>
              <w:right w:val="single" w:sz="6" w:space="0" w:color="auto"/>
            </w:tcBorders>
          </w:tcPr>
          <w:p w:rsidR="005761EC" w:rsidRPr="00711031" w:rsidRDefault="005761EC" w:rsidP="009F7B1B">
            <w:pPr>
              <w:pStyle w:val="tekstost"/>
              <w:jc w:val="center"/>
              <w:rPr>
                <w:sz w:val="24"/>
                <w:szCs w:val="24"/>
              </w:rPr>
            </w:pPr>
            <w:r w:rsidRPr="00711031">
              <w:rPr>
                <w:sz w:val="24"/>
                <w:szCs w:val="24"/>
              </w:rPr>
              <w:t>Częstotliwość badań</w:t>
            </w:r>
          </w:p>
        </w:tc>
      </w:tr>
      <w:tr w:rsidR="005761EC" w:rsidRPr="00711031" w:rsidTr="009F7B1B">
        <w:tblPrEx>
          <w:tblCellMar>
            <w:top w:w="0" w:type="dxa"/>
            <w:bottom w:w="0" w:type="dxa"/>
          </w:tblCellMar>
        </w:tblPrEx>
        <w:tc>
          <w:tcPr>
            <w:tcW w:w="496" w:type="dxa"/>
            <w:tcBorders>
              <w:left w:val="single" w:sz="6" w:space="0" w:color="auto"/>
              <w:bottom w:val="double" w:sz="6" w:space="0" w:color="auto"/>
              <w:right w:val="single" w:sz="6" w:space="0" w:color="auto"/>
            </w:tcBorders>
          </w:tcPr>
          <w:p w:rsidR="005761EC" w:rsidRPr="00711031" w:rsidRDefault="005761EC" w:rsidP="009F7B1B">
            <w:pPr>
              <w:pStyle w:val="tekstost"/>
              <w:jc w:val="center"/>
              <w:rPr>
                <w:sz w:val="24"/>
                <w:szCs w:val="24"/>
              </w:rPr>
            </w:pPr>
          </w:p>
          <w:p w:rsidR="005761EC" w:rsidRPr="00711031" w:rsidRDefault="005761EC" w:rsidP="009F7B1B">
            <w:pPr>
              <w:pStyle w:val="tekstost"/>
              <w:spacing w:before="120"/>
              <w:jc w:val="center"/>
              <w:rPr>
                <w:sz w:val="24"/>
                <w:szCs w:val="24"/>
              </w:rPr>
            </w:pPr>
            <w:r w:rsidRPr="00711031">
              <w:rPr>
                <w:sz w:val="24"/>
                <w:szCs w:val="24"/>
              </w:rPr>
              <w:t>Lp.</w:t>
            </w:r>
          </w:p>
        </w:tc>
        <w:tc>
          <w:tcPr>
            <w:tcW w:w="4394" w:type="dxa"/>
            <w:tcBorders>
              <w:left w:val="nil"/>
              <w:bottom w:val="double" w:sz="6" w:space="0" w:color="auto"/>
            </w:tcBorders>
          </w:tcPr>
          <w:p w:rsidR="005761EC" w:rsidRPr="00711031" w:rsidRDefault="005761EC" w:rsidP="009F7B1B">
            <w:pPr>
              <w:pStyle w:val="tekstost"/>
              <w:rPr>
                <w:sz w:val="24"/>
                <w:szCs w:val="24"/>
              </w:rPr>
            </w:pPr>
          </w:p>
          <w:p w:rsidR="005761EC" w:rsidRPr="00711031" w:rsidRDefault="005761EC" w:rsidP="009F7B1B">
            <w:pPr>
              <w:pStyle w:val="tekstost"/>
              <w:spacing w:before="120"/>
              <w:jc w:val="center"/>
              <w:rPr>
                <w:sz w:val="24"/>
                <w:szCs w:val="24"/>
              </w:rPr>
            </w:pPr>
            <w:r w:rsidRPr="00711031">
              <w:rPr>
                <w:sz w:val="24"/>
                <w:szCs w:val="24"/>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5761EC" w:rsidRPr="00711031" w:rsidRDefault="005761EC" w:rsidP="009F7B1B">
            <w:pPr>
              <w:pStyle w:val="tekstost"/>
              <w:spacing w:before="120"/>
              <w:jc w:val="center"/>
              <w:rPr>
                <w:sz w:val="24"/>
                <w:szCs w:val="24"/>
              </w:rPr>
            </w:pPr>
            <w:r w:rsidRPr="00711031">
              <w:rPr>
                <w:sz w:val="24"/>
                <w:szCs w:val="24"/>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5761EC" w:rsidRPr="00711031" w:rsidRDefault="005761EC" w:rsidP="009F7B1B">
            <w:pPr>
              <w:pStyle w:val="tekstost"/>
              <w:jc w:val="left"/>
              <w:rPr>
                <w:sz w:val="24"/>
                <w:szCs w:val="24"/>
              </w:rPr>
            </w:pPr>
            <w:r w:rsidRPr="00711031">
              <w:rPr>
                <w:sz w:val="24"/>
                <w:szCs w:val="24"/>
              </w:rPr>
              <w:t xml:space="preserve">Maksymalna powierzchnia podbudowy przy-padająca na jedno badanie </w:t>
            </w:r>
            <w:r w:rsidRPr="00711031">
              <w:rPr>
                <w:sz w:val="24"/>
                <w:szCs w:val="24"/>
              </w:rPr>
              <w:lastRenderedPageBreak/>
              <w:t>(m</w:t>
            </w:r>
            <w:r w:rsidRPr="00711031">
              <w:rPr>
                <w:sz w:val="24"/>
                <w:szCs w:val="24"/>
                <w:vertAlign w:val="superscript"/>
              </w:rPr>
              <w:t>2</w:t>
            </w:r>
            <w:r w:rsidRPr="00711031">
              <w:rPr>
                <w:sz w:val="24"/>
                <w:szCs w:val="24"/>
              </w:rPr>
              <w:t>)</w:t>
            </w:r>
          </w:p>
        </w:tc>
      </w:tr>
      <w:tr w:rsidR="005761EC" w:rsidRPr="00711031" w:rsidTr="009F7B1B">
        <w:tblPrEx>
          <w:tblCellMar>
            <w:top w:w="0" w:type="dxa"/>
            <w:bottom w:w="0" w:type="dxa"/>
          </w:tblCellMar>
        </w:tblPrEx>
        <w:tc>
          <w:tcPr>
            <w:tcW w:w="496" w:type="dxa"/>
            <w:tcBorders>
              <w:left w:val="single" w:sz="6" w:space="0" w:color="auto"/>
              <w:bottom w:val="single" w:sz="6" w:space="0" w:color="auto"/>
              <w:right w:val="single" w:sz="6" w:space="0" w:color="auto"/>
            </w:tcBorders>
          </w:tcPr>
          <w:p w:rsidR="005761EC" w:rsidRPr="00711031" w:rsidRDefault="005761EC" w:rsidP="009F7B1B">
            <w:pPr>
              <w:pStyle w:val="tekstost"/>
              <w:spacing w:before="60" w:after="60"/>
              <w:jc w:val="center"/>
              <w:rPr>
                <w:sz w:val="24"/>
                <w:szCs w:val="24"/>
              </w:rPr>
            </w:pPr>
            <w:r w:rsidRPr="00711031">
              <w:rPr>
                <w:sz w:val="24"/>
                <w:szCs w:val="24"/>
              </w:rPr>
              <w:lastRenderedPageBreak/>
              <w:t>1</w:t>
            </w:r>
          </w:p>
        </w:tc>
        <w:tc>
          <w:tcPr>
            <w:tcW w:w="4394" w:type="dxa"/>
            <w:tcBorders>
              <w:left w:val="single" w:sz="6" w:space="0" w:color="auto"/>
              <w:bottom w:val="single" w:sz="6" w:space="0" w:color="auto"/>
            </w:tcBorders>
          </w:tcPr>
          <w:p w:rsidR="005761EC" w:rsidRPr="00711031" w:rsidRDefault="005761EC" w:rsidP="009F7B1B">
            <w:pPr>
              <w:pStyle w:val="tekstost"/>
              <w:spacing w:before="60" w:after="60"/>
              <w:rPr>
                <w:sz w:val="24"/>
                <w:szCs w:val="24"/>
              </w:rPr>
            </w:pPr>
            <w:r w:rsidRPr="00711031">
              <w:rPr>
                <w:sz w:val="24"/>
                <w:szCs w:val="24"/>
              </w:rPr>
              <w:t xml:space="preserve">Uziarnienie mieszanki </w:t>
            </w:r>
          </w:p>
        </w:tc>
        <w:tc>
          <w:tcPr>
            <w:tcW w:w="1309" w:type="dxa"/>
            <w:tcBorders>
              <w:left w:val="single" w:sz="6" w:space="0" w:color="auto"/>
            </w:tcBorders>
          </w:tcPr>
          <w:p w:rsidR="005761EC" w:rsidRPr="00711031" w:rsidRDefault="005761EC" w:rsidP="009F7B1B">
            <w:pPr>
              <w:pStyle w:val="tekstost"/>
              <w:spacing w:before="60" w:after="60"/>
              <w:jc w:val="center"/>
              <w:rPr>
                <w:sz w:val="24"/>
                <w:szCs w:val="24"/>
              </w:rPr>
            </w:pPr>
          </w:p>
        </w:tc>
        <w:tc>
          <w:tcPr>
            <w:tcW w:w="1309" w:type="dxa"/>
            <w:tcBorders>
              <w:left w:val="single" w:sz="6" w:space="0" w:color="auto"/>
              <w:right w:val="single" w:sz="6" w:space="0" w:color="auto"/>
            </w:tcBorders>
          </w:tcPr>
          <w:p w:rsidR="005761EC" w:rsidRPr="00711031" w:rsidRDefault="005761EC" w:rsidP="009F7B1B">
            <w:pPr>
              <w:pStyle w:val="tekstost"/>
              <w:jc w:val="center"/>
              <w:rPr>
                <w:sz w:val="24"/>
                <w:szCs w:val="24"/>
              </w:rPr>
            </w:pPr>
          </w:p>
        </w:tc>
      </w:tr>
      <w:tr w:rsidR="005761EC" w:rsidRPr="00711031" w:rsidTr="009F7B1B">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5761EC" w:rsidRPr="00711031" w:rsidRDefault="005761EC" w:rsidP="009F7B1B">
            <w:pPr>
              <w:pStyle w:val="tekstost"/>
              <w:spacing w:before="60" w:after="60"/>
              <w:jc w:val="center"/>
              <w:rPr>
                <w:sz w:val="24"/>
                <w:szCs w:val="24"/>
              </w:rPr>
            </w:pPr>
            <w:r w:rsidRPr="00711031">
              <w:rPr>
                <w:sz w:val="24"/>
                <w:szCs w:val="24"/>
              </w:rPr>
              <w:t>2</w:t>
            </w:r>
          </w:p>
        </w:tc>
        <w:tc>
          <w:tcPr>
            <w:tcW w:w="4394" w:type="dxa"/>
            <w:tcBorders>
              <w:top w:val="single" w:sz="6" w:space="0" w:color="auto"/>
              <w:left w:val="single" w:sz="6" w:space="0" w:color="auto"/>
              <w:bottom w:val="single" w:sz="6" w:space="0" w:color="auto"/>
            </w:tcBorders>
          </w:tcPr>
          <w:p w:rsidR="005761EC" w:rsidRPr="00711031" w:rsidRDefault="005761EC" w:rsidP="009F7B1B">
            <w:pPr>
              <w:pStyle w:val="tekstost"/>
              <w:spacing w:before="60" w:after="60"/>
              <w:rPr>
                <w:sz w:val="24"/>
                <w:szCs w:val="24"/>
              </w:rPr>
            </w:pPr>
            <w:r w:rsidRPr="00711031">
              <w:rPr>
                <w:sz w:val="24"/>
                <w:szCs w:val="24"/>
              </w:rPr>
              <w:t xml:space="preserve">Wilgotność mieszanki </w:t>
            </w:r>
          </w:p>
        </w:tc>
        <w:tc>
          <w:tcPr>
            <w:tcW w:w="1309" w:type="dxa"/>
            <w:tcBorders>
              <w:left w:val="single" w:sz="6" w:space="0" w:color="auto"/>
            </w:tcBorders>
          </w:tcPr>
          <w:p w:rsidR="005761EC" w:rsidRPr="00711031" w:rsidRDefault="005761EC" w:rsidP="009F7B1B">
            <w:pPr>
              <w:pStyle w:val="tekstost"/>
              <w:spacing w:after="60"/>
              <w:jc w:val="center"/>
              <w:rPr>
                <w:sz w:val="24"/>
                <w:szCs w:val="24"/>
              </w:rPr>
            </w:pPr>
            <w:r w:rsidRPr="00711031">
              <w:rPr>
                <w:sz w:val="24"/>
                <w:szCs w:val="24"/>
              </w:rPr>
              <w:t>2</w:t>
            </w:r>
          </w:p>
        </w:tc>
        <w:tc>
          <w:tcPr>
            <w:tcW w:w="1309" w:type="dxa"/>
            <w:tcBorders>
              <w:left w:val="single" w:sz="6" w:space="0" w:color="auto"/>
              <w:bottom w:val="single" w:sz="6" w:space="0" w:color="auto"/>
              <w:right w:val="single" w:sz="6" w:space="0" w:color="auto"/>
            </w:tcBorders>
          </w:tcPr>
          <w:p w:rsidR="005761EC" w:rsidRPr="00711031" w:rsidRDefault="005761EC" w:rsidP="009F7B1B">
            <w:pPr>
              <w:pStyle w:val="tekstost"/>
              <w:jc w:val="center"/>
              <w:rPr>
                <w:sz w:val="24"/>
                <w:szCs w:val="24"/>
              </w:rPr>
            </w:pPr>
            <w:r w:rsidRPr="00711031">
              <w:rPr>
                <w:sz w:val="24"/>
                <w:szCs w:val="24"/>
              </w:rPr>
              <w:t>600</w:t>
            </w:r>
          </w:p>
        </w:tc>
      </w:tr>
      <w:tr w:rsidR="005761EC" w:rsidRPr="00711031" w:rsidTr="009F7B1B">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5761EC" w:rsidRPr="00711031" w:rsidRDefault="005761EC" w:rsidP="009F7B1B">
            <w:pPr>
              <w:pStyle w:val="tekstost"/>
              <w:spacing w:before="60" w:after="60"/>
              <w:jc w:val="center"/>
              <w:rPr>
                <w:sz w:val="24"/>
                <w:szCs w:val="24"/>
              </w:rPr>
            </w:pPr>
            <w:r w:rsidRPr="00711031">
              <w:rPr>
                <w:sz w:val="24"/>
                <w:szCs w:val="24"/>
              </w:rPr>
              <w:t>3</w:t>
            </w:r>
          </w:p>
        </w:tc>
        <w:tc>
          <w:tcPr>
            <w:tcW w:w="4394" w:type="dxa"/>
            <w:tcBorders>
              <w:top w:val="single" w:sz="6" w:space="0" w:color="auto"/>
              <w:left w:val="single" w:sz="6" w:space="0" w:color="auto"/>
              <w:bottom w:val="single" w:sz="6" w:space="0" w:color="auto"/>
            </w:tcBorders>
          </w:tcPr>
          <w:p w:rsidR="005761EC" w:rsidRPr="00711031" w:rsidRDefault="005761EC" w:rsidP="009F7B1B">
            <w:pPr>
              <w:pStyle w:val="tekstost"/>
              <w:spacing w:before="60" w:after="60"/>
              <w:rPr>
                <w:sz w:val="24"/>
                <w:szCs w:val="24"/>
              </w:rPr>
            </w:pPr>
            <w:r w:rsidRPr="00711031">
              <w:rPr>
                <w:sz w:val="24"/>
                <w:szCs w:val="24"/>
              </w:rPr>
              <w:t>Zagęszczenie warstwy</w:t>
            </w:r>
          </w:p>
        </w:tc>
        <w:tc>
          <w:tcPr>
            <w:tcW w:w="1309" w:type="dxa"/>
            <w:tcBorders>
              <w:top w:val="single" w:sz="6" w:space="0" w:color="auto"/>
              <w:left w:val="single" w:sz="6" w:space="0" w:color="auto"/>
              <w:bottom w:val="single" w:sz="6" w:space="0" w:color="auto"/>
            </w:tcBorders>
          </w:tcPr>
          <w:p w:rsidR="005761EC" w:rsidRPr="00711031" w:rsidRDefault="005761EC" w:rsidP="009F7B1B">
            <w:pPr>
              <w:pStyle w:val="tekstost"/>
              <w:spacing w:before="60" w:after="60"/>
              <w:jc w:val="right"/>
              <w:rPr>
                <w:sz w:val="24"/>
                <w:szCs w:val="24"/>
              </w:rPr>
            </w:pPr>
            <w:r w:rsidRPr="00711031">
              <w:rPr>
                <w:sz w:val="24"/>
                <w:szCs w:val="24"/>
              </w:rPr>
              <w:t>10 próbek</w:t>
            </w:r>
          </w:p>
        </w:tc>
        <w:tc>
          <w:tcPr>
            <w:tcW w:w="1309" w:type="dxa"/>
            <w:tcBorders>
              <w:left w:val="nil"/>
              <w:bottom w:val="single" w:sz="6" w:space="0" w:color="auto"/>
              <w:right w:val="single" w:sz="6" w:space="0" w:color="auto"/>
            </w:tcBorders>
          </w:tcPr>
          <w:p w:rsidR="005761EC" w:rsidRPr="00711031" w:rsidRDefault="005761EC" w:rsidP="009F7B1B">
            <w:pPr>
              <w:pStyle w:val="tekstost"/>
              <w:spacing w:before="60"/>
              <w:jc w:val="left"/>
              <w:rPr>
                <w:sz w:val="24"/>
                <w:szCs w:val="24"/>
              </w:rPr>
            </w:pPr>
            <w:r w:rsidRPr="00711031">
              <w:rPr>
                <w:sz w:val="24"/>
                <w:szCs w:val="24"/>
              </w:rPr>
              <w:t xml:space="preserve">na </w:t>
            </w:r>
            <w:smartTag w:uri="urn:schemas-microsoft-com:office:smarttags" w:element="metricconverter">
              <w:smartTagPr>
                <w:attr w:name="ProductID" w:val="10000 m2"/>
              </w:smartTagPr>
              <w:r w:rsidRPr="00711031">
                <w:rPr>
                  <w:sz w:val="24"/>
                  <w:szCs w:val="24"/>
                </w:rPr>
                <w:t>10000 m</w:t>
              </w:r>
              <w:r w:rsidRPr="00711031">
                <w:rPr>
                  <w:sz w:val="24"/>
                  <w:szCs w:val="24"/>
                  <w:vertAlign w:val="superscript"/>
                </w:rPr>
                <w:t>2</w:t>
              </w:r>
            </w:smartTag>
          </w:p>
        </w:tc>
      </w:tr>
      <w:tr w:rsidR="005761EC" w:rsidRPr="00711031" w:rsidTr="009F7B1B">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5761EC" w:rsidRPr="00711031" w:rsidRDefault="005761EC" w:rsidP="009F7B1B">
            <w:pPr>
              <w:pStyle w:val="tekstost"/>
              <w:spacing w:before="180" w:after="60"/>
              <w:jc w:val="center"/>
              <w:rPr>
                <w:sz w:val="24"/>
                <w:szCs w:val="24"/>
              </w:rPr>
            </w:pPr>
            <w:r w:rsidRPr="00711031">
              <w:rPr>
                <w:sz w:val="24"/>
                <w:szCs w:val="24"/>
              </w:rPr>
              <w:t>4</w:t>
            </w:r>
          </w:p>
        </w:tc>
        <w:tc>
          <w:tcPr>
            <w:tcW w:w="4394" w:type="dxa"/>
            <w:tcBorders>
              <w:top w:val="single" w:sz="6" w:space="0" w:color="auto"/>
              <w:left w:val="single" w:sz="6" w:space="0" w:color="auto"/>
              <w:bottom w:val="single" w:sz="6" w:space="0" w:color="auto"/>
              <w:right w:val="single" w:sz="6" w:space="0" w:color="auto"/>
            </w:tcBorders>
          </w:tcPr>
          <w:p w:rsidR="005761EC" w:rsidRPr="00711031" w:rsidRDefault="005761EC" w:rsidP="009F7B1B">
            <w:pPr>
              <w:pStyle w:val="tekstost"/>
              <w:spacing w:before="180" w:after="60"/>
              <w:rPr>
                <w:sz w:val="24"/>
                <w:szCs w:val="24"/>
              </w:rPr>
            </w:pPr>
            <w:r w:rsidRPr="00711031">
              <w:rPr>
                <w:sz w:val="24"/>
                <w:szCs w:val="24"/>
              </w:rPr>
              <w:t xml:space="preserve">Badanie właściwości kruszywa wg tab. 1, </w:t>
            </w:r>
            <w:proofErr w:type="spellStart"/>
            <w:r w:rsidRPr="00711031">
              <w:rPr>
                <w:sz w:val="24"/>
                <w:szCs w:val="24"/>
              </w:rPr>
              <w:t>pkt</w:t>
            </w:r>
            <w:proofErr w:type="spellEnd"/>
            <w:r w:rsidRPr="00711031">
              <w:rPr>
                <w:sz w:val="24"/>
                <w:szCs w:val="24"/>
              </w:rPr>
              <w:t xml:space="preserve"> 2.3.2</w:t>
            </w:r>
          </w:p>
        </w:tc>
        <w:tc>
          <w:tcPr>
            <w:tcW w:w="2620" w:type="dxa"/>
            <w:gridSpan w:val="2"/>
            <w:tcBorders>
              <w:top w:val="single" w:sz="6" w:space="0" w:color="auto"/>
              <w:left w:val="single" w:sz="6" w:space="0" w:color="auto"/>
              <w:bottom w:val="single" w:sz="6" w:space="0" w:color="auto"/>
              <w:right w:val="single" w:sz="6" w:space="0" w:color="auto"/>
            </w:tcBorders>
          </w:tcPr>
          <w:p w:rsidR="005761EC" w:rsidRPr="00711031" w:rsidRDefault="005761EC" w:rsidP="009F7B1B">
            <w:pPr>
              <w:pStyle w:val="tekstost"/>
              <w:spacing w:before="60" w:after="60"/>
              <w:jc w:val="center"/>
              <w:rPr>
                <w:sz w:val="24"/>
                <w:szCs w:val="24"/>
              </w:rPr>
            </w:pPr>
            <w:r w:rsidRPr="00711031">
              <w:rPr>
                <w:sz w:val="24"/>
                <w:szCs w:val="24"/>
              </w:rPr>
              <w:t>dla każdej partii kruszywa i przy każdej zmianie kruszywa</w:t>
            </w:r>
          </w:p>
        </w:tc>
      </w:tr>
    </w:tbl>
    <w:p w:rsidR="005761EC" w:rsidRDefault="005761EC" w:rsidP="005761EC">
      <w:pPr>
        <w:pStyle w:val="tekstost"/>
        <w:rPr>
          <w:sz w:val="24"/>
          <w:szCs w:val="24"/>
        </w:rPr>
      </w:pPr>
    </w:p>
    <w:p w:rsidR="005761EC" w:rsidRDefault="005761EC" w:rsidP="005761EC">
      <w:pPr>
        <w:pStyle w:val="tekstost"/>
        <w:rPr>
          <w:sz w:val="24"/>
          <w:szCs w:val="24"/>
        </w:rPr>
      </w:pPr>
    </w:p>
    <w:p w:rsidR="005761EC" w:rsidRPr="00711031" w:rsidRDefault="005761EC" w:rsidP="005761EC">
      <w:pPr>
        <w:pStyle w:val="tekstost"/>
        <w:rPr>
          <w:sz w:val="24"/>
          <w:szCs w:val="24"/>
        </w:rPr>
      </w:pPr>
    </w:p>
    <w:p w:rsidR="005761EC" w:rsidRPr="00711031" w:rsidRDefault="005761EC" w:rsidP="005761EC">
      <w:pPr>
        <w:pStyle w:val="tekstost"/>
        <w:rPr>
          <w:sz w:val="24"/>
          <w:szCs w:val="24"/>
        </w:rPr>
      </w:pPr>
      <w:r w:rsidRPr="00711031">
        <w:rPr>
          <w:b/>
          <w:sz w:val="24"/>
          <w:szCs w:val="24"/>
        </w:rPr>
        <w:t xml:space="preserve">6.3.2. </w:t>
      </w:r>
      <w:r w:rsidRPr="00711031">
        <w:rPr>
          <w:sz w:val="24"/>
          <w:szCs w:val="24"/>
        </w:rPr>
        <w:t>Uziarnienie mieszanki</w:t>
      </w:r>
    </w:p>
    <w:p w:rsidR="005761EC" w:rsidRPr="00711031" w:rsidRDefault="005761EC" w:rsidP="005761EC">
      <w:pPr>
        <w:pStyle w:val="tekstost"/>
        <w:spacing w:before="120"/>
        <w:rPr>
          <w:sz w:val="24"/>
          <w:szCs w:val="24"/>
        </w:rPr>
      </w:pPr>
      <w:r w:rsidRPr="00711031">
        <w:rPr>
          <w:sz w:val="24"/>
          <w:szCs w:val="24"/>
        </w:rPr>
        <w:tab/>
        <w:t xml:space="preserve">Uziarnienie mieszanki powinno być zgodne z wymaganiami podanymi w </w:t>
      </w:r>
      <w:proofErr w:type="spellStart"/>
      <w:r w:rsidRPr="00711031">
        <w:rPr>
          <w:sz w:val="24"/>
          <w:szCs w:val="24"/>
        </w:rPr>
        <w:t>pkt</w:t>
      </w:r>
      <w:proofErr w:type="spellEnd"/>
      <w:r w:rsidRPr="00711031">
        <w:rPr>
          <w:sz w:val="24"/>
          <w:szCs w:val="24"/>
        </w:rPr>
        <w:t xml:space="preserve"> 2.2. Próbki należy pobierać w sposób losowy, z rozłożonej warstwy, przed jej zagęszczeniem. Wyniki badań powinny być na bieżąco przekazywane Inżynierowi.</w:t>
      </w:r>
    </w:p>
    <w:p w:rsidR="005761EC" w:rsidRPr="00711031" w:rsidRDefault="005761EC" w:rsidP="005761EC">
      <w:pPr>
        <w:pStyle w:val="tekstost"/>
        <w:spacing w:before="120"/>
        <w:rPr>
          <w:sz w:val="24"/>
          <w:szCs w:val="24"/>
        </w:rPr>
      </w:pPr>
      <w:r w:rsidRPr="00711031">
        <w:rPr>
          <w:b/>
          <w:sz w:val="24"/>
          <w:szCs w:val="24"/>
        </w:rPr>
        <w:t xml:space="preserve">6.3.3. </w:t>
      </w:r>
      <w:r w:rsidRPr="00711031">
        <w:rPr>
          <w:sz w:val="24"/>
          <w:szCs w:val="24"/>
        </w:rPr>
        <w:t xml:space="preserve">Wilgotność mieszanki </w:t>
      </w:r>
    </w:p>
    <w:p w:rsidR="005761EC" w:rsidRPr="00711031" w:rsidRDefault="005761EC" w:rsidP="005761EC">
      <w:pPr>
        <w:pStyle w:val="tekstost"/>
        <w:spacing w:before="120"/>
        <w:rPr>
          <w:sz w:val="24"/>
          <w:szCs w:val="24"/>
        </w:rPr>
      </w:pPr>
      <w:r w:rsidRPr="00711031">
        <w:rPr>
          <w:sz w:val="24"/>
          <w:szCs w:val="24"/>
        </w:rPr>
        <w:tab/>
        <w:t xml:space="preserve">Wilgotność mieszanki powinna odpowiadać wilgotności optymalnej, określonej według próby </w:t>
      </w:r>
      <w:proofErr w:type="spellStart"/>
      <w:r w:rsidRPr="00711031">
        <w:rPr>
          <w:sz w:val="24"/>
          <w:szCs w:val="24"/>
        </w:rPr>
        <w:t>Proctora</w:t>
      </w:r>
      <w:proofErr w:type="spellEnd"/>
      <w:r w:rsidRPr="00711031">
        <w:rPr>
          <w:sz w:val="24"/>
          <w:szCs w:val="24"/>
        </w:rPr>
        <w:t>, zgodnie z PN-B-04481 [1] (metoda II), z tolerancją +10% -20%.</w:t>
      </w:r>
    </w:p>
    <w:p w:rsidR="005761EC" w:rsidRPr="00711031" w:rsidRDefault="005761EC" w:rsidP="005761EC">
      <w:pPr>
        <w:pStyle w:val="tekstost"/>
        <w:rPr>
          <w:sz w:val="24"/>
          <w:szCs w:val="24"/>
        </w:rPr>
      </w:pPr>
      <w:r w:rsidRPr="00711031">
        <w:rPr>
          <w:sz w:val="24"/>
          <w:szCs w:val="24"/>
        </w:rPr>
        <w:tab/>
        <w:t>Wilgotność należy określić według PN-B-06714-17 [5].</w:t>
      </w:r>
    </w:p>
    <w:p w:rsidR="005761EC" w:rsidRPr="00711031" w:rsidRDefault="005761EC" w:rsidP="005761EC">
      <w:pPr>
        <w:pStyle w:val="tekstost"/>
        <w:spacing w:before="120"/>
        <w:rPr>
          <w:sz w:val="24"/>
          <w:szCs w:val="24"/>
        </w:rPr>
      </w:pPr>
      <w:r w:rsidRPr="00711031">
        <w:rPr>
          <w:b/>
          <w:sz w:val="24"/>
          <w:szCs w:val="24"/>
        </w:rPr>
        <w:t xml:space="preserve">6.3.4. </w:t>
      </w:r>
      <w:r w:rsidRPr="00711031">
        <w:rPr>
          <w:sz w:val="24"/>
          <w:szCs w:val="24"/>
        </w:rPr>
        <w:t>Zagęszczenie podbudowy</w:t>
      </w:r>
    </w:p>
    <w:p w:rsidR="005761EC" w:rsidRPr="00711031" w:rsidRDefault="005761EC" w:rsidP="005761EC">
      <w:pPr>
        <w:pStyle w:val="tekstost"/>
        <w:spacing w:before="120"/>
        <w:rPr>
          <w:sz w:val="24"/>
          <w:szCs w:val="24"/>
        </w:rPr>
      </w:pPr>
      <w:r w:rsidRPr="00711031">
        <w:rPr>
          <w:sz w:val="24"/>
          <w:szCs w:val="24"/>
        </w:rPr>
        <w:tab/>
        <w:t>Zagęszczenie każdej warstwy powinno odbywać się aż do osiągnięcia wymaganego wskaźnika zagęszczenia.</w:t>
      </w:r>
    </w:p>
    <w:p w:rsidR="005761EC" w:rsidRPr="00711031" w:rsidRDefault="005761EC" w:rsidP="005761EC">
      <w:pPr>
        <w:pStyle w:val="tekstost"/>
        <w:rPr>
          <w:sz w:val="24"/>
          <w:szCs w:val="24"/>
        </w:rPr>
      </w:pPr>
      <w:r w:rsidRPr="00711031">
        <w:rPr>
          <w:sz w:val="24"/>
          <w:szCs w:val="24"/>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711031">
          <w:rPr>
            <w:sz w:val="24"/>
            <w:szCs w:val="24"/>
          </w:rPr>
          <w:t>5000 m</w:t>
        </w:r>
        <w:r w:rsidRPr="00711031">
          <w:rPr>
            <w:sz w:val="24"/>
            <w:szCs w:val="24"/>
            <w:vertAlign w:val="superscript"/>
          </w:rPr>
          <w:t>2</w:t>
        </w:r>
      </w:smartTag>
      <w:r w:rsidRPr="00711031">
        <w:rPr>
          <w:sz w:val="24"/>
          <w:szCs w:val="24"/>
        </w:rPr>
        <w:t>, lub według zaleceń Inżyniera.</w:t>
      </w:r>
    </w:p>
    <w:p w:rsidR="005761EC" w:rsidRPr="00711031" w:rsidRDefault="005761EC" w:rsidP="005761EC">
      <w:pPr>
        <w:pStyle w:val="tekstost"/>
        <w:rPr>
          <w:sz w:val="24"/>
          <w:szCs w:val="24"/>
        </w:rPr>
      </w:pPr>
      <w:r w:rsidRPr="00711031">
        <w:rPr>
          <w:sz w:val="24"/>
          <w:szCs w:val="24"/>
        </w:rPr>
        <w:tab/>
        <w:t xml:space="preserve">Zagęszczenie podbudowy stabilizowanej mechanicznie należy uznać za prawidłowe, gdy stosunek wtórnego modułu </w:t>
      </w:r>
      <w:r w:rsidRPr="00711031">
        <w:rPr>
          <w:i/>
          <w:sz w:val="24"/>
          <w:szCs w:val="24"/>
        </w:rPr>
        <w:t>E</w:t>
      </w:r>
      <w:r w:rsidRPr="00711031">
        <w:rPr>
          <w:sz w:val="24"/>
          <w:szCs w:val="24"/>
          <w:vertAlign w:val="subscript"/>
        </w:rPr>
        <w:t>2</w:t>
      </w:r>
      <w:r w:rsidRPr="00711031">
        <w:rPr>
          <w:sz w:val="24"/>
          <w:szCs w:val="24"/>
        </w:rPr>
        <w:t xml:space="preserve"> do pierwotnego modułu odkształcenia </w:t>
      </w:r>
      <w:r w:rsidRPr="00711031">
        <w:rPr>
          <w:i/>
          <w:sz w:val="24"/>
          <w:szCs w:val="24"/>
        </w:rPr>
        <w:t>E</w:t>
      </w:r>
      <w:r w:rsidRPr="00711031">
        <w:rPr>
          <w:sz w:val="24"/>
          <w:szCs w:val="24"/>
          <w:vertAlign w:val="subscript"/>
        </w:rPr>
        <w:t>1</w:t>
      </w:r>
      <w:r w:rsidRPr="00711031">
        <w:rPr>
          <w:sz w:val="24"/>
          <w:szCs w:val="24"/>
        </w:rPr>
        <w:t xml:space="preserve"> jest nie większy od 2,2 dla każdej warstwy konstrukcyjnej podbudowy.</w:t>
      </w:r>
    </w:p>
    <w:p w:rsidR="005761EC" w:rsidRPr="00711031" w:rsidRDefault="005761EC" w:rsidP="005761EC">
      <w:pPr>
        <w:pStyle w:val="tekstost"/>
        <w:rPr>
          <w:sz w:val="24"/>
          <w:szCs w:val="24"/>
        </w:rPr>
      </w:pPr>
      <w:r w:rsidRPr="00711031">
        <w:rPr>
          <w:sz w:val="24"/>
          <w:szCs w:val="24"/>
        </w:rPr>
        <w:tab/>
      </w:r>
      <w:r w:rsidRPr="00711031">
        <w:rPr>
          <w:sz w:val="24"/>
          <w:szCs w:val="24"/>
        </w:rPr>
        <w:tab/>
      </w:r>
      <w:r w:rsidRPr="00711031">
        <w:rPr>
          <w:sz w:val="24"/>
          <w:szCs w:val="24"/>
        </w:rPr>
        <w:tab/>
      </w:r>
      <w:r w:rsidRPr="00711031">
        <w:rPr>
          <w:sz w:val="24"/>
          <w:szCs w:val="24"/>
        </w:rPr>
        <w:tab/>
      </w:r>
      <w:r w:rsidRPr="00711031">
        <w:rPr>
          <w:position w:val="-28"/>
          <w:sz w:val="24"/>
          <w:szCs w:val="24"/>
        </w:rPr>
        <w:object w:dxaOrig="340" w:dyaOrig="680">
          <v:shape id="_x0000_i1027" type="#_x0000_t75" style="width:17.25pt;height:33.75pt" o:ole="">
            <v:imagedata r:id="rId9" o:title=""/>
          </v:shape>
          <o:OLEObject Type="Embed" ProgID="Equation.3" ShapeID="_x0000_i1027" DrawAspect="Content" ObjectID="_1409045184" r:id="rId10"/>
        </w:object>
      </w:r>
      <w:r w:rsidRPr="00711031">
        <w:rPr>
          <w:sz w:val="24"/>
          <w:szCs w:val="24"/>
        </w:rPr>
        <w:t xml:space="preserve">  </w:t>
      </w:r>
      <w:r w:rsidRPr="00711031">
        <w:rPr>
          <w:sz w:val="24"/>
          <w:szCs w:val="24"/>
        </w:rPr>
        <w:sym w:font="Symbol" w:char="F0A3"/>
      </w:r>
      <w:r w:rsidRPr="00711031">
        <w:rPr>
          <w:sz w:val="24"/>
          <w:szCs w:val="24"/>
        </w:rPr>
        <w:t xml:space="preserve">   2,2</w:t>
      </w:r>
    </w:p>
    <w:p w:rsidR="005761EC" w:rsidRPr="00711031" w:rsidRDefault="005761EC" w:rsidP="005761EC">
      <w:pPr>
        <w:pStyle w:val="tekstost"/>
        <w:rPr>
          <w:sz w:val="24"/>
          <w:szCs w:val="24"/>
        </w:rPr>
      </w:pPr>
      <w:r w:rsidRPr="00711031">
        <w:rPr>
          <w:b/>
          <w:sz w:val="24"/>
          <w:szCs w:val="24"/>
        </w:rPr>
        <w:t xml:space="preserve">6.3.5. </w:t>
      </w:r>
      <w:r w:rsidRPr="00711031">
        <w:rPr>
          <w:sz w:val="24"/>
          <w:szCs w:val="24"/>
        </w:rPr>
        <w:t>Właściwości kruszywa</w:t>
      </w:r>
    </w:p>
    <w:p w:rsidR="005761EC" w:rsidRPr="00711031" w:rsidRDefault="005761EC" w:rsidP="005761EC">
      <w:pPr>
        <w:pStyle w:val="tekstost"/>
        <w:spacing w:before="120"/>
        <w:rPr>
          <w:sz w:val="24"/>
          <w:szCs w:val="24"/>
        </w:rPr>
      </w:pPr>
      <w:r w:rsidRPr="00711031">
        <w:rPr>
          <w:sz w:val="24"/>
          <w:szCs w:val="24"/>
        </w:rPr>
        <w:tab/>
        <w:t xml:space="preserve">Badania kruszywa powinny obejmować ocenę wszystkich właściwości określonych w </w:t>
      </w:r>
      <w:proofErr w:type="spellStart"/>
      <w:r w:rsidRPr="00711031">
        <w:rPr>
          <w:sz w:val="24"/>
          <w:szCs w:val="24"/>
        </w:rPr>
        <w:t>pkt</w:t>
      </w:r>
      <w:proofErr w:type="spellEnd"/>
      <w:r w:rsidRPr="00711031">
        <w:rPr>
          <w:sz w:val="24"/>
          <w:szCs w:val="24"/>
        </w:rPr>
        <w:t xml:space="preserve"> 2.2.2.</w:t>
      </w:r>
    </w:p>
    <w:p w:rsidR="005761EC" w:rsidRPr="00711031" w:rsidRDefault="005761EC" w:rsidP="005761EC">
      <w:pPr>
        <w:pStyle w:val="tekstost"/>
        <w:rPr>
          <w:sz w:val="24"/>
          <w:szCs w:val="24"/>
        </w:rPr>
      </w:pPr>
      <w:r w:rsidRPr="00711031">
        <w:rPr>
          <w:sz w:val="24"/>
          <w:szCs w:val="24"/>
        </w:rPr>
        <w:tab/>
        <w:t>Próbki do badań pełnych powinny być pobierane przez Wykonawcę w sposób losowy w obecności Inżyniera.</w:t>
      </w:r>
    </w:p>
    <w:p w:rsidR="005761EC" w:rsidRPr="00711031" w:rsidRDefault="005761EC" w:rsidP="005761EC">
      <w:pPr>
        <w:pStyle w:val="Nagwek2"/>
        <w:spacing w:after="0"/>
        <w:rPr>
          <w:sz w:val="24"/>
          <w:szCs w:val="24"/>
        </w:rPr>
      </w:pPr>
      <w:r w:rsidRPr="00711031">
        <w:rPr>
          <w:sz w:val="24"/>
          <w:szCs w:val="24"/>
        </w:rPr>
        <w:t xml:space="preserve">6.4. Wymagania dotyczące cech geometrycznych podbudowy </w:t>
      </w:r>
    </w:p>
    <w:p w:rsidR="005761EC" w:rsidRPr="00711031" w:rsidRDefault="005761EC" w:rsidP="005761EC">
      <w:pPr>
        <w:spacing w:before="120"/>
      </w:pPr>
      <w:r w:rsidRPr="00711031">
        <w:rPr>
          <w:b/>
        </w:rPr>
        <w:t xml:space="preserve">6.4.1. </w:t>
      </w:r>
      <w:r w:rsidRPr="00711031">
        <w:t>Częstotliwość oraz zakres pomiarów</w:t>
      </w:r>
    </w:p>
    <w:p w:rsidR="005761EC" w:rsidRPr="00711031" w:rsidRDefault="005761EC" w:rsidP="005761EC">
      <w:pPr>
        <w:spacing w:before="120"/>
      </w:pPr>
      <w:r w:rsidRPr="00711031">
        <w:tab/>
        <w:t xml:space="preserve"> Częstotliwość oraz zakres pomiarów dotyczących cech geometrycznych podbudowy  podano w  tablicy 3.</w:t>
      </w:r>
    </w:p>
    <w:p w:rsidR="005761EC" w:rsidRPr="00711031" w:rsidRDefault="005761EC" w:rsidP="005761EC">
      <w:pPr>
        <w:spacing w:before="120"/>
      </w:pPr>
      <w:r w:rsidRPr="00711031">
        <w:t>Tablica 3. Częstotliwość oraz zakres pomiarów wykonanej podbudowy z kruszywa</w:t>
      </w:r>
    </w:p>
    <w:p w:rsidR="005761EC" w:rsidRPr="00711031" w:rsidRDefault="005761EC" w:rsidP="005761EC">
      <w:pPr>
        <w:spacing w:after="120"/>
      </w:pPr>
      <w:r w:rsidRPr="00711031">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67"/>
        <w:gridCol w:w="3479"/>
      </w:tblGrid>
      <w:tr w:rsidR="005761EC" w:rsidRPr="00711031" w:rsidTr="009F7B1B">
        <w:tblPrEx>
          <w:tblCellMar>
            <w:top w:w="0" w:type="dxa"/>
            <w:bottom w:w="0" w:type="dxa"/>
          </w:tblCellMar>
        </w:tblPrEx>
        <w:tc>
          <w:tcPr>
            <w:tcW w:w="637" w:type="dxa"/>
            <w:tcBorders>
              <w:bottom w:val="double" w:sz="6" w:space="0" w:color="auto"/>
            </w:tcBorders>
          </w:tcPr>
          <w:p w:rsidR="005761EC" w:rsidRPr="00711031" w:rsidRDefault="005761EC" w:rsidP="009F7B1B">
            <w:pPr>
              <w:spacing w:before="60" w:after="60"/>
              <w:ind w:right="-11"/>
              <w:jc w:val="center"/>
              <w:rPr>
                <w:b/>
              </w:rPr>
            </w:pPr>
            <w:r w:rsidRPr="00711031">
              <w:lastRenderedPageBreak/>
              <w:t>Lp.</w:t>
            </w:r>
          </w:p>
        </w:tc>
        <w:tc>
          <w:tcPr>
            <w:tcW w:w="3467" w:type="dxa"/>
            <w:tcBorders>
              <w:bottom w:val="double" w:sz="6" w:space="0" w:color="auto"/>
            </w:tcBorders>
          </w:tcPr>
          <w:p w:rsidR="005761EC" w:rsidRPr="00711031" w:rsidRDefault="005761EC" w:rsidP="009F7B1B">
            <w:pPr>
              <w:spacing w:before="60" w:after="60"/>
              <w:ind w:right="-11"/>
              <w:jc w:val="center"/>
              <w:rPr>
                <w:b/>
              </w:rPr>
            </w:pPr>
            <w:r w:rsidRPr="00711031">
              <w:t>Wyszczególnienie badań i pomiarów</w:t>
            </w:r>
          </w:p>
        </w:tc>
        <w:tc>
          <w:tcPr>
            <w:tcW w:w="3479" w:type="dxa"/>
            <w:tcBorders>
              <w:bottom w:val="double" w:sz="6" w:space="0" w:color="auto"/>
            </w:tcBorders>
          </w:tcPr>
          <w:p w:rsidR="005761EC" w:rsidRPr="00711031" w:rsidRDefault="005761EC" w:rsidP="009F7B1B">
            <w:pPr>
              <w:spacing w:before="60" w:after="60"/>
              <w:ind w:right="-11"/>
              <w:jc w:val="center"/>
              <w:rPr>
                <w:b/>
              </w:rPr>
            </w:pPr>
            <w:r w:rsidRPr="00711031">
              <w:t>Minimalna częstotliwość pomiarów</w:t>
            </w:r>
          </w:p>
        </w:tc>
      </w:tr>
      <w:tr w:rsidR="005761EC" w:rsidRPr="00711031" w:rsidTr="009F7B1B">
        <w:tblPrEx>
          <w:tblCellMar>
            <w:top w:w="0" w:type="dxa"/>
            <w:bottom w:w="0" w:type="dxa"/>
          </w:tblCellMar>
        </w:tblPrEx>
        <w:tc>
          <w:tcPr>
            <w:tcW w:w="637" w:type="dxa"/>
            <w:tcBorders>
              <w:top w:val="nil"/>
            </w:tcBorders>
          </w:tcPr>
          <w:p w:rsidR="005761EC" w:rsidRPr="00711031" w:rsidRDefault="005761EC" w:rsidP="009F7B1B">
            <w:pPr>
              <w:spacing w:before="60" w:after="60"/>
              <w:ind w:right="-14"/>
              <w:jc w:val="center"/>
              <w:rPr>
                <w:b/>
              </w:rPr>
            </w:pPr>
            <w:r w:rsidRPr="00711031">
              <w:t>1</w:t>
            </w:r>
          </w:p>
        </w:tc>
        <w:tc>
          <w:tcPr>
            <w:tcW w:w="3467" w:type="dxa"/>
            <w:tcBorders>
              <w:top w:val="nil"/>
            </w:tcBorders>
          </w:tcPr>
          <w:p w:rsidR="005761EC" w:rsidRPr="00711031" w:rsidRDefault="005761EC" w:rsidP="009F7B1B">
            <w:pPr>
              <w:spacing w:before="60" w:after="60"/>
              <w:ind w:right="-14"/>
              <w:rPr>
                <w:b/>
              </w:rPr>
            </w:pPr>
            <w:r w:rsidRPr="00711031">
              <w:t xml:space="preserve">Szerokość podbudowy </w:t>
            </w:r>
          </w:p>
        </w:tc>
        <w:tc>
          <w:tcPr>
            <w:tcW w:w="3479" w:type="dxa"/>
            <w:tcBorders>
              <w:top w:val="nil"/>
            </w:tcBorders>
          </w:tcPr>
          <w:p w:rsidR="005761EC" w:rsidRPr="00711031" w:rsidRDefault="005761EC" w:rsidP="009F7B1B">
            <w:pPr>
              <w:spacing w:before="60" w:after="60"/>
              <w:ind w:right="-14"/>
              <w:rPr>
                <w:b/>
              </w:rPr>
            </w:pPr>
            <w:r w:rsidRPr="00711031">
              <w:t xml:space="preserve">10 razy na </w:t>
            </w:r>
            <w:smartTag w:uri="urn:schemas-microsoft-com:office:smarttags" w:element="metricconverter">
              <w:smartTagPr>
                <w:attr w:name="ProductID" w:val="1 km"/>
              </w:smartTagPr>
              <w:r w:rsidRPr="00711031">
                <w:t>1 km</w:t>
              </w:r>
            </w:smartTag>
          </w:p>
        </w:tc>
      </w:tr>
      <w:tr w:rsidR="005761EC" w:rsidRPr="00711031" w:rsidTr="009F7B1B">
        <w:tblPrEx>
          <w:tblCellMar>
            <w:top w:w="0" w:type="dxa"/>
            <w:bottom w:w="0" w:type="dxa"/>
          </w:tblCellMar>
        </w:tblPrEx>
        <w:tc>
          <w:tcPr>
            <w:tcW w:w="637" w:type="dxa"/>
          </w:tcPr>
          <w:p w:rsidR="005761EC" w:rsidRPr="00711031" w:rsidRDefault="005761EC" w:rsidP="009F7B1B">
            <w:pPr>
              <w:spacing w:before="120" w:after="60"/>
              <w:ind w:right="-11"/>
              <w:jc w:val="center"/>
              <w:rPr>
                <w:b/>
              </w:rPr>
            </w:pPr>
            <w:r w:rsidRPr="00711031">
              <w:t>2</w:t>
            </w:r>
          </w:p>
        </w:tc>
        <w:tc>
          <w:tcPr>
            <w:tcW w:w="3467" w:type="dxa"/>
          </w:tcPr>
          <w:p w:rsidR="005761EC" w:rsidRPr="00711031" w:rsidRDefault="005761EC" w:rsidP="009F7B1B">
            <w:pPr>
              <w:spacing w:before="120" w:after="60"/>
              <w:ind w:right="-11"/>
              <w:rPr>
                <w:b/>
              </w:rPr>
            </w:pPr>
            <w:r w:rsidRPr="00711031">
              <w:t>Równość podłużna</w:t>
            </w:r>
          </w:p>
        </w:tc>
        <w:tc>
          <w:tcPr>
            <w:tcW w:w="3479" w:type="dxa"/>
          </w:tcPr>
          <w:p w:rsidR="005761EC" w:rsidRPr="00711031" w:rsidRDefault="005761EC" w:rsidP="009F7B1B">
            <w:pPr>
              <w:ind w:right="-11"/>
              <w:rPr>
                <w:b/>
              </w:rPr>
            </w:pPr>
            <w:r w:rsidRPr="00711031">
              <w:t xml:space="preserve">w sposób ciągły </w:t>
            </w:r>
            <w:proofErr w:type="spellStart"/>
            <w:r w:rsidRPr="00711031">
              <w:t>planografem</w:t>
            </w:r>
            <w:proofErr w:type="spellEnd"/>
            <w:r w:rsidRPr="00711031">
              <w:t xml:space="preserve"> albo co        </w:t>
            </w:r>
            <w:smartTag w:uri="urn:schemas-microsoft-com:office:smarttags" w:element="metricconverter">
              <w:smartTagPr>
                <w:attr w:name="ProductID" w:val="20 m"/>
              </w:smartTagPr>
              <w:r w:rsidRPr="00711031">
                <w:t>20 m</w:t>
              </w:r>
            </w:smartTag>
            <w:r w:rsidRPr="00711031">
              <w:t xml:space="preserve"> łatą na każdym pasie ruchu</w:t>
            </w:r>
          </w:p>
        </w:tc>
      </w:tr>
      <w:tr w:rsidR="005761EC" w:rsidRPr="00711031" w:rsidTr="009F7B1B">
        <w:tblPrEx>
          <w:tblCellMar>
            <w:top w:w="0" w:type="dxa"/>
            <w:bottom w:w="0" w:type="dxa"/>
          </w:tblCellMar>
        </w:tblPrEx>
        <w:tc>
          <w:tcPr>
            <w:tcW w:w="637" w:type="dxa"/>
          </w:tcPr>
          <w:p w:rsidR="005761EC" w:rsidRPr="00711031" w:rsidRDefault="005761EC" w:rsidP="009F7B1B">
            <w:pPr>
              <w:spacing w:before="60" w:after="60"/>
              <w:ind w:right="-14"/>
              <w:jc w:val="center"/>
              <w:rPr>
                <w:b/>
              </w:rPr>
            </w:pPr>
            <w:r w:rsidRPr="00711031">
              <w:t>3</w:t>
            </w:r>
          </w:p>
        </w:tc>
        <w:tc>
          <w:tcPr>
            <w:tcW w:w="3467" w:type="dxa"/>
          </w:tcPr>
          <w:p w:rsidR="005761EC" w:rsidRPr="00711031" w:rsidRDefault="005761EC" w:rsidP="009F7B1B">
            <w:pPr>
              <w:spacing w:before="60" w:after="60"/>
              <w:ind w:right="-14"/>
              <w:rPr>
                <w:b/>
              </w:rPr>
            </w:pPr>
            <w:r w:rsidRPr="00711031">
              <w:t>Równość poprzeczna</w:t>
            </w:r>
          </w:p>
        </w:tc>
        <w:tc>
          <w:tcPr>
            <w:tcW w:w="3479" w:type="dxa"/>
          </w:tcPr>
          <w:p w:rsidR="005761EC" w:rsidRPr="00711031" w:rsidRDefault="005761EC" w:rsidP="009F7B1B">
            <w:pPr>
              <w:spacing w:before="60" w:after="60"/>
              <w:ind w:right="-14"/>
              <w:rPr>
                <w:b/>
              </w:rPr>
            </w:pPr>
            <w:r w:rsidRPr="00711031">
              <w:t xml:space="preserve">10 razy na </w:t>
            </w:r>
            <w:smartTag w:uri="urn:schemas-microsoft-com:office:smarttags" w:element="metricconverter">
              <w:smartTagPr>
                <w:attr w:name="ProductID" w:val="1 km"/>
              </w:smartTagPr>
              <w:r w:rsidRPr="00711031">
                <w:t>1 km</w:t>
              </w:r>
            </w:smartTag>
          </w:p>
        </w:tc>
      </w:tr>
      <w:tr w:rsidR="005761EC" w:rsidRPr="00711031" w:rsidTr="009F7B1B">
        <w:tblPrEx>
          <w:tblCellMar>
            <w:top w:w="0" w:type="dxa"/>
            <w:bottom w:w="0" w:type="dxa"/>
          </w:tblCellMar>
        </w:tblPrEx>
        <w:tc>
          <w:tcPr>
            <w:tcW w:w="637" w:type="dxa"/>
          </w:tcPr>
          <w:p w:rsidR="005761EC" w:rsidRPr="00711031" w:rsidRDefault="005761EC" w:rsidP="009F7B1B">
            <w:pPr>
              <w:spacing w:before="60" w:after="60"/>
              <w:ind w:right="-14"/>
              <w:jc w:val="center"/>
              <w:rPr>
                <w:b/>
              </w:rPr>
            </w:pPr>
            <w:r w:rsidRPr="00711031">
              <w:t>4</w:t>
            </w:r>
          </w:p>
        </w:tc>
        <w:tc>
          <w:tcPr>
            <w:tcW w:w="3467" w:type="dxa"/>
          </w:tcPr>
          <w:p w:rsidR="005761EC" w:rsidRPr="00711031" w:rsidRDefault="005761EC" w:rsidP="009F7B1B">
            <w:pPr>
              <w:spacing w:before="60" w:after="60"/>
              <w:ind w:right="-14"/>
              <w:rPr>
                <w:b/>
              </w:rPr>
            </w:pPr>
            <w:r w:rsidRPr="00711031">
              <w:t>Spadki poprzeczne*</w:t>
            </w:r>
            <w:r w:rsidRPr="00711031">
              <w:rPr>
                <w:vertAlign w:val="superscript"/>
              </w:rPr>
              <w:t>)</w:t>
            </w:r>
          </w:p>
        </w:tc>
        <w:tc>
          <w:tcPr>
            <w:tcW w:w="3479" w:type="dxa"/>
            <w:tcBorders>
              <w:bottom w:val="nil"/>
            </w:tcBorders>
          </w:tcPr>
          <w:p w:rsidR="005761EC" w:rsidRPr="00711031" w:rsidRDefault="005761EC" w:rsidP="009F7B1B">
            <w:pPr>
              <w:spacing w:before="60" w:after="60"/>
              <w:ind w:right="-14"/>
              <w:rPr>
                <w:b/>
              </w:rPr>
            </w:pPr>
            <w:r w:rsidRPr="00711031">
              <w:t xml:space="preserve">10 razy na </w:t>
            </w:r>
            <w:smartTag w:uri="urn:schemas-microsoft-com:office:smarttags" w:element="metricconverter">
              <w:smartTagPr>
                <w:attr w:name="ProductID" w:val="1 km"/>
              </w:smartTagPr>
              <w:r w:rsidRPr="00711031">
                <w:t>1 km</w:t>
              </w:r>
            </w:smartTag>
          </w:p>
        </w:tc>
      </w:tr>
      <w:tr w:rsidR="005761EC" w:rsidRPr="00711031" w:rsidTr="009F7B1B">
        <w:tblPrEx>
          <w:tblCellMar>
            <w:top w:w="0" w:type="dxa"/>
            <w:bottom w:w="0" w:type="dxa"/>
          </w:tblCellMar>
        </w:tblPrEx>
        <w:tc>
          <w:tcPr>
            <w:tcW w:w="637" w:type="dxa"/>
          </w:tcPr>
          <w:p w:rsidR="005761EC" w:rsidRPr="00711031" w:rsidRDefault="005761EC" w:rsidP="009F7B1B">
            <w:pPr>
              <w:spacing w:before="60" w:after="60"/>
              <w:ind w:right="-11"/>
              <w:jc w:val="center"/>
              <w:rPr>
                <w:b/>
              </w:rPr>
            </w:pPr>
            <w:r w:rsidRPr="00711031">
              <w:t>5</w:t>
            </w:r>
          </w:p>
        </w:tc>
        <w:tc>
          <w:tcPr>
            <w:tcW w:w="3467" w:type="dxa"/>
          </w:tcPr>
          <w:p w:rsidR="005761EC" w:rsidRPr="00711031" w:rsidRDefault="005761EC" w:rsidP="009F7B1B">
            <w:pPr>
              <w:spacing w:before="60" w:after="60"/>
              <w:ind w:right="-11"/>
              <w:rPr>
                <w:b/>
              </w:rPr>
            </w:pPr>
            <w:r w:rsidRPr="00711031">
              <w:t>Rzędne wysokościowe</w:t>
            </w:r>
          </w:p>
        </w:tc>
        <w:tc>
          <w:tcPr>
            <w:tcW w:w="3479" w:type="dxa"/>
            <w:tcBorders>
              <w:bottom w:val="single" w:sz="6" w:space="0" w:color="auto"/>
            </w:tcBorders>
          </w:tcPr>
          <w:p w:rsidR="005761EC" w:rsidRPr="00711031" w:rsidRDefault="005761EC" w:rsidP="009F7B1B">
            <w:pPr>
              <w:spacing w:before="60" w:after="60"/>
              <w:ind w:right="-11"/>
            </w:pPr>
            <w:r w:rsidRPr="00711031">
              <w:t xml:space="preserve">co </w:t>
            </w:r>
            <w:smartTag w:uri="urn:schemas-microsoft-com:office:smarttags" w:element="metricconverter">
              <w:smartTagPr>
                <w:attr w:name="ProductID" w:val="100 m"/>
              </w:smartTagPr>
              <w:r w:rsidRPr="00711031">
                <w:t>100 m</w:t>
              </w:r>
            </w:smartTag>
          </w:p>
        </w:tc>
      </w:tr>
      <w:tr w:rsidR="005761EC" w:rsidRPr="00711031" w:rsidTr="009F7B1B">
        <w:tblPrEx>
          <w:tblCellMar>
            <w:top w:w="0" w:type="dxa"/>
            <w:bottom w:w="0" w:type="dxa"/>
          </w:tblCellMar>
        </w:tblPrEx>
        <w:tc>
          <w:tcPr>
            <w:tcW w:w="637" w:type="dxa"/>
          </w:tcPr>
          <w:p w:rsidR="005761EC" w:rsidRPr="00711031" w:rsidRDefault="005761EC" w:rsidP="009F7B1B">
            <w:pPr>
              <w:spacing w:before="60" w:after="60"/>
              <w:ind w:right="-14"/>
              <w:jc w:val="center"/>
              <w:rPr>
                <w:b/>
              </w:rPr>
            </w:pPr>
            <w:r w:rsidRPr="00711031">
              <w:t>6</w:t>
            </w:r>
          </w:p>
        </w:tc>
        <w:tc>
          <w:tcPr>
            <w:tcW w:w="3467" w:type="dxa"/>
          </w:tcPr>
          <w:p w:rsidR="005761EC" w:rsidRPr="00711031" w:rsidRDefault="005761EC" w:rsidP="009F7B1B">
            <w:pPr>
              <w:spacing w:before="60" w:after="60"/>
              <w:ind w:right="-14"/>
              <w:rPr>
                <w:b/>
              </w:rPr>
            </w:pPr>
            <w:r w:rsidRPr="00711031">
              <w:t>Ukształtowanie osi w planie*</w:t>
            </w:r>
            <w:r w:rsidRPr="00711031">
              <w:rPr>
                <w:vertAlign w:val="superscript"/>
              </w:rPr>
              <w:t>)</w:t>
            </w:r>
          </w:p>
        </w:tc>
        <w:tc>
          <w:tcPr>
            <w:tcW w:w="3479" w:type="dxa"/>
            <w:tcBorders>
              <w:top w:val="nil"/>
            </w:tcBorders>
          </w:tcPr>
          <w:p w:rsidR="005761EC" w:rsidRPr="00711031" w:rsidRDefault="005761EC" w:rsidP="009F7B1B">
            <w:pPr>
              <w:spacing w:before="60" w:after="60"/>
              <w:ind w:right="-11"/>
              <w:rPr>
                <w:b/>
              </w:rPr>
            </w:pPr>
            <w:r w:rsidRPr="00711031">
              <w:t xml:space="preserve">co </w:t>
            </w:r>
            <w:smartTag w:uri="urn:schemas-microsoft-com:office:smarttags" w:element="metricconverter">
              <w:smartTagPr>
                <w:attr w:name="ProductID" w:val="100 m"/>
              </w:smartTagPr>
              <w:r w:rsidRPr="00711031">
                <w:t>100 m</w:t>
              </w:r>
            </w:smartTag>
          </w:p>
        </w:tc>
      </w:tr>
      <w:tr w:rsidR="005761EC" w:rsidRPr="00711031" w:rsidTr="009F7B1B">
        <w:tblPrEx>
          <w:tblCellMar>
            <w:top w:w="0" w:type="dxa"/>
            <w:bottom w:w="0" w:type="dxa"/>
          </w:tblCellMar>
        </w:tblPrEx>
        <w:tc>
          <w:tcPr>
            <w:tcW w:w="637" w:type="dxa"/>
          </w:tcPr>
          <w:p w:rsidR="005761EC" w:rsidRPr="00711031" w:rsidRDefault="005761EC" w:rsidP="009F7B1B">
            <w:pPr>
              <w:spacing w:before="60" w:after="60"/>
              <w:ind w:right="-11"/>
              <w:jc w:val="center"/>
              <w:rPr>
                <w:b/>
              </w:rPr>
            </w:pPr>
            <w:r w:rsidRPr="00711031">
              <w:t>7</w:t>
            </w:r>
          </w:p>
        </w:tc>
        <w:tc>
          <w:tcPr>
            <w:tcW w:w="3467" w:type="dxa"/>
          </w:tcPr>
          <w:p w:rsidR="005761EC" w:rsidRPr="00711031" w:rsidRDefault="005761EC" w:rsidP="009F7B1B">
            <w:pPr>
              <w:spacing w:before="60" w:after="60"/>
              <w:ind w:right="-11"/>
              <w:rPr>
                <w:b/>
              </w:rPr>
            </w:pPr>
            <w:r w:rsidRPr="00711031">
              <w:t xml:space="preserve">Grubość podbudowy </w:t>
            </w:r>
          </w:p>
        </w:tc>
        <w:tc>
          <w:tcPr>
            <w:tcW w:w="3479" w:type="dxa"/>
          </w:tcPr>
          <w:p w:rsidR="005761EC" w:rsidRPr="00711031" w:rsidRDefault="005761EC" w:rsidP="009F7B1B">
            <w:pPr>
              <w:spacing w:before="60"/>
              <w:ind w:right="-11"/>
            </w:pPr>
            <w:r w:rsidRPr="00711031">
              <w:t>Podczas budowy:</w:t>
            </w:r>
          </w:p>
          <w:p w:rsidR="005761EC" w:rsidRPr="00711031" w:rsidRDefault="005761EC" w:rsidP="009F7B1B">
            <w:pPr>
              <w:ind w:right="-11"/>
            </w:pPr>
            <w:r w:rsidRPr="00711031">
              <w:t xml:space="preserve">w 3 punktach na każdej działce roboczej, lecz nie rzadziej niż raz na </w:t>
            </w:r>
            <w:smartTag w:uri="urn:schemas-microsoft-com:office:smarttags" w:element="metricconverter">
              <w:smartTagPr>
                <w:attr w:name="ProductID" w:val="400 m2"/>
              </w:smartTagPr>
              <w:r w:rsidRPr="00711031">
                <w:t>400 m</w:t>
              </w:r>
              <w:r w:rsidRPr="00711031">
                <w:rPr>
                  <w:vertAlign w:val="superscript"/>
                </w:rPr>
                <w:t>2</w:t>
              </w:r>
            </w:smartTag>
          </w:p>
          <w:p w:rsidR="005761EC" w:rsidRPr="00711031" w:rsidRDefault="005761EC" w:rsidP="009F7B1B">
            <w:pPr>
              <w:ind w:right="-11"/>
            </w:pPr>
            <w:r w:rsidRPr="00711031">
              <w:t>Przed odbiorem:</w:t>
            </w:r>
          </w:p>
          <w:p w:rsidR="005761EC" w:rsidRPr="00711031" w:rsidRDefault="005761EC" w:rsidP="009F7B1B">
            <w:pPr>
              <w:spacing w:after="60"/>
              <w:ind w:right="-11"/>
              <w:rPr>
                <w:b/>
              </w:rPr>
            </w:pPr>
            <w:r w:rsidRPr="00711031">
              <w:t xml:space="preserve">w 3 punktach, lecz nie rzadziej niż raz na </w:t>
            </w:r>
            <w:smartTag w:uri="urn:schemas-microsoft-com:office:smarttags" w:element="metricconverter">
              <w:smartTagPr>
                <w:attr w:name="ProductID" w:val="2000 m2"/>
              </w:smartTagPr>
              <w:r w:rsidRPr="00711031">
                <w:t>2000 m</w:t>
              </w:r>
              <w:r w:rsidRPr="00711031">
                <w:rPr>
                  <w:vertAlign w:val="superscript"/>
                </w:rPr>
                <w:t>2</w:t>
              </w:r>
            </w:smartTag>
          </w:p>
        </w:tc>
      </w:tr>
      <w:tr w:rsidR="005761EC" w:rsidRPr="00711031" w:rsidTr="009F7B1B">
        <w:tblPrEx>
          <w:tblCellMar>
            <w:top w:w="0" w:type="dxa"/>
            <w:bottom w:w="0" w:type="dxa"/>
          </w:tblCellMar>
        </w:tblPrEx>
        <w:tc>
          <w:tcPr>
            <w:tcW w:w="637" w:type="dxa"/>
          </w:tcPr>
          <w:p w:rsidR="005761EC" w:rsidRPr="00711031" w:rsidRDefault="005761EC" w:rsidP="009F7B1B">
            <w:pPr>
              <w:spacing w:before="60" w:after="60"/>
              <w:ind w:right="-11"/>
              <w:jc w:val="center"/>
            </w:pPr>
            <w:r w:rsidRPr="00711031">
              <w:t>8</w:t>
            </w:r>
          </w:p>
        </w:tc>
        <w:tc>
          <w:tcPr>
            <w:tcW w:w="3467" w:type="dxa"/>
          </w:tcPr>
          <w:p w:rsidR="005761EC" w:rsidRPr="00711031" w:rsidRDefault="005761EC" w:rsidP="009F7B1B">
            <w:pPr>
              <w:spacing w:before="60"/>
              <w:ind w:right="-11"/>
            </w:pPr>
            <w:r w:rsidRPr="00711031">
              <w:t>Nośność podbudowy:</w:t>
            </w:r>
          </w:p>
          <w:p w:rsidR="005761EC" w:rsidRPr="00711031" w:rsidRDefault="005761EC" w:rsidP="009F7B1B">
            <w:pPr>
              <w:ind w:right="-11"/>
            </w:pPr>
            <w:r w:rsidRPr="00711031">
              <w:t>- moduł odkształcenia</w:t>
            </w:r>
          </w:p>
          <w:p w:rsidR="005761EC" w:rsidRPr="00711031" w:rsidRDefault="005761EC" w:rsidP="009F7B1B">
            <w:pPr>
              <w:ind w:right="-11"/>
            </w:pPr>
          </w:p>
          <w:p w:rsidR="005761EC" w:rsidRPr="00711031" w:rsidRDefault="005761EC" w:rsidP="009F7B1B">
            <w:pPr>
              <w:ind w:right="-11"/>
            </w:pPr>
            <w:r w:rsidRPr="00711031">
              <w:t>- ugięcie sprężyste</w:t>
            </w:r>
          </w:p>
          <w:p w:rsidR="005761EC" w:rsidRPr="00711031" w:rsidRDefault="005761EC" w:rsidP="009F7B1B">
            <w:pPr>
              <w:ind w:right="-11"/>
            </w:pPr>
          </w:p>
        </w:tc>
        <w:tc>
          <w:tcPr>
            <w:tcW w:w="3479" w:type="dxa"/>
          </w:tcPr>
          <w:p w:rsidR="005761EC" w:rsidRPr="00711031" w:rsidRDefault="005761EC" w:rsidP="009F7B1B">
            <w:pPr>
              <w:ind w:right="-11"/>
            </w:pPr>
          </w:p>
          <w:p w:rsidR="005761EC" w:rsidRPr="00711031" w:rsidRDefault="005761EC" w:rsidP="009F7B1B">
            <w:pPr>
              <w:spacing w:before="60"/>
              <w:ind w:right="-11"/>
            </w:pPr>
            <w:r w:rsidRPr="00711031">
              <w:t xml:space="preserve">co najmniej w dwóch przekrojach na każde </w:t>
            </w:r>
            <w:smartTag w:uri="urn:schemas-microsoft-com:office:smarttags" w:element="metricconverter">
              <w:smartTagPr>
                <w:attr w:name="ProductID" w:val="1000 m"/>
              </w:smartTagPr>
              <w:r w:rsidRPr="00711031">
                <w:t>1000 m</w:t>
              </w:r>
            </w:smartTag>
          </w:p>
          <w:p w:rsidR="005761EC" w:rsidRPr="00711031" w:rsidRDefault="005761EC" w:rsidP="009F7B1B">
            <w:pPr>
              <w:spacing w:after="60"/>
              <w:ind w:right="-11"/>
            </w:pPr>
            <w:r w:rsidRPr="00711031">
              <w:t xml:space="preserve">co najmniej w 20 punktach na każde </w:t>
            </w:r>
            <w:smartTag w:uri="urn:schemas-microsoft-com:office:smarttags" w:element="metricconverter">
              <w:smartTagPr>
                <w:attr w:name="ProductID" w:val="1000 m"/>
              </w:smartTagPr>
              <w:r w:rsidRPr="00711031">
                <w:t>1000 m</w:t>
              </w:r>
            </w:smartTag>
          </w:p>
        </w:tc>
      </w:tr>
    </w:tbl>
    <w:p w:rsidR="005761EC" w:rsidRPr="00711031" w:rsidRDefault="005761EC" w:rsidP="005761EC">
      <w:pPr>
        <w:spacing w:before="120"/>
        <w:ind w:left="284" w:right="-11"/>
      </w:pPr>
      <w:r w:rsidRPr="00711031">
        <w:t>*) Dodatkowe pomiary spadków poprzecznych i ukształtowania osi w planie należy wykonać w punktach głównych łuków poziomych.</w:t>
      </w:r>
    </w:p>
    <w:p w:rsidR="005761EC" w:rsidRPr="00711031" w:rsidRDefault="005761EC" w:rsidP="005761EC">
      <w:pPr>
        <w:keepNext/>
        <w:spacing w:before="120" w:after="120"/>
        <w:ind w:right="-11"/>
      </w:pPr>
      <w:r w:rsidRPr="00711031">
        <w:rPr>
          <w:b/>
        </w:rPr>
        <w:t xml:space="preserve">6.4.2. </w:t>
      </w:r>
      <w:r w:rsidRPr="00711031">
        <w:t xml:space="preserve">Szerokość podbudowy </w:t>
      </w:r>
    </w:p>
    <w:p w:rsidR="005761EC" w:rsidRPr="00711031" w:rsidRDefault="005761EC" w:rsidP="005761EC">
      <w:pPr>
        <w:ind w:right="-11"/>
      </w:pPr>
      <w:r w:rsidRPr="00711031">
        <w:tab/>
        <w:t>Szerokość podbudowy nie może różnić się od szerokości projektowanej o więcej niż +</w:t>
      </w:r>
      <w:smartTag w:uri="urn:schemas-microsoft-com:office:smarttags" w:element="metricconverter">
        <w:smartTagPr>
          <w:attr w:name="ProductID" w:val="10 cm"/>
        </w:smartTagPr>
        <w:r w:rsidRPr="00711031">
          <w:t>10 cm</w:t>
        </w:r>
      </w:smartTag>
      <w:r w:rsidRPr="00711031">
        <w:t xml:space="preserve">, </w:t>
      </w:r>
      <w:smartTag w:uri="urn:schemas-microsoft-com:office:smarttags" w:element="metricconverter">
        <w:smartTagPr>
          <w:attr w:name="ProductID" w:val="-5 cm"/>
        </w:smartTagPr>
        <w:r w:rsidRPr="00711031">
          <w:t xml:space="preserve">-5 </w:t>
        </w:r>
        <w:proofErr w:type="spellStart"/>
        <w:r w:rsidRPr="00711031">
          <w:t>cm</w:t>
        </w:r>
      </w:smartTag>
      <w:proofErr w:type="spellEnd"/>
      <w:r w:rsidRPr="00711031">
        <w:t>.</w:t>
      </w:r>
    </w:p>
    <w:p w:rsidR="005761EC" w:rsidRPr="00711031" w:rsidRDefault="005761EC" w:rsidP="005761EC">
      <w:pPr>
        <w:ind w:right="-11"/>
      </w:pPr>
      <w:r w:rsidRPr="00711031">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711031">
          <w:t>25 cm</w:t>
        </w:r>
      </w:smartTag>
      <w:r w:rsidRPr="00711031">
        <w:t xml:space="preserve"> lub o wartość wskazaną w dokumentacji projektowej.</w:t>
      </w:r>
    </w:p>
    <w:p w:rsidR="005761EC" w:rsidRPr="00711031" w:rsidRDefault="005761EC" w:rsidP="005761EC">
      <w:pPr>
        <w:spacing w:before="120" w:after="120"/>
        <w:ind w:right="-11"/>
      </w:pPr>
      <w:r w:rsidRPr="00711031">
        <w:rPr>
          <w:b/>
        </w:rPr>
        <w:t xml:space="preserve">6.4.3. </w:t>
      </w:r>
      <w:r w:rsidRPr="00711031">
        <w:t xml:space="preserve">Równość podbudowy </w:t>
      </w:r>
    </w:p>
    <w:p w:rsidR="005761EC" w:rsidRPr="00711031" w:rsidRDefault="005761EC" w:rsidP="005761EC">
      <w:pPr>
        <w:ind w:right="-11"/>
      </w:pPr>
      <w:r w:rsidRPr="00711031">
        <w:tab/>
        <w:t xml:space="preserve">Nierówności podłużne podbudowy należy mierzyć 4-metrową łatą lub </w:t>
      </w:r>
      <w:proofErr w:type="spellStart"/>
      <w:r w:rsidRPr="00711031">
        <w:t>planografem</w:t>
      </w:r>
      <w:proofErr w:type="spellEnd"/>
      <w:r w:rsidRPr="00711031">
        <w:t xml:space="preserve">, zgodnie z BN-68/8931-04 [28]. </w:t>
      </w:r>
    </w:p>
    <w:p w:rsidR="005761EC" w:rsidRPr="00711031" w:rsidRDefault="005761EC" w:rsidP="005761EC">
      <w:pPr>
        <w:ind w:right="-11"/>
      </w:pPr>
      <w:r w:rsidRPr="00711031">
        <w:tab/>
        <w:t xml:space="preserve">Nierówności poprzeczne podbudowy należy mierzyć 4-metrową łatą. </w:t>
      </w:r>
    </w:p>
    <w:p w:rsidR="005761EC" w:rsidRPr="00711031" w:rsidRDefault="005761EC" w:rsidP="005761EC">
      <w:pPr>
        <w:ind w:right="-11"/>
      </w:pPr>
      <w:r w:rsidRPr="00711031">
        <w:tab/>
        <w:t>Nierówności podbudowy  nie mogą przekraczać:</w:t>
      </w:r>
    </w:p>
    <w:p w:rsidR="005761EC" w:rsidRPr="00711031" w:rsidRDefault="005761EC" w:rsidP="005761EC">
      <w:pPr>
        <w:ind w:right="-11"/>
      </w:pPr>
      <w:r w:rsidRPr="00711031">
        <w:t xml:space="preserve">-  </w:t>
      </w:r>
      <w:smartTag w:uri="urn:schemas-microsoft-com:office:smarttags" w:element="metricconverter">
        <w:smartTagPr>
          <w:attr w:name="ProductID" w:val="10 mm"/>
        </w:smartTagPr>
        <w:r w:rsidRPr="00711031">
          <w:t>10 mm</w:t>
        </w:r>
      </w:smartTag>
      <w:r w:rsidRPr="00711031">
        <w:t xml:space="preserve"> dla podbudowy zasadniczej,</w:t>
      </w:r>
    </w:p>
    <w:p w:rsidR="005761EC" w:rsidRPr="00711031" w:rsidRDefault="005761EC" w:rsidP="005761EC">
      <w:pPr>
        <w:ind w:right="-11"/>
      </w:pPr>
      <w:r w:rsidRPr="00711031">
        <w:t xml:space="preserve">-  </w:t>
      </w:r>
      <w:smartTag w:uri="urn:schemas-microsoft-com:office:smarttags" w:element="metricconverter">
        <w:smartTagPr>
          <w:attr w:name="ProductID" w:val="20 mm"/>
        </w:smartTagPr>
        <w:r w:rsidRPr="00711031">
          <w:t>20 mm</w:t>
        </w:r>
      </w:smartTag>
      <w:r w:rsidRPr="00711031">
        <w:t xml:space="preserve"> dla podbudowy pomocniczej.</w:t>
      </w:r>
    </w:p>
    <w:p w:rsidR="005761EC" w:rsidRPr="00711031" w:rsidRDefault="005761EC" w:rsidP="005761EC">
      <w:pPr>
        <w:spacing w:before="120" w:after="120"/>
        <w:ind w:right="-11"/>
      </w:pPr>
      <w:r w:rsidRPr="00711031">
        <w:rPr>
          <w:b/>
        </w:rPr>
        <w:t xml:space="preserve">6.4.4. </w:t>
      </w:r>
      <w:r w:rsidRPr="00711031">
        <w:t xml:space="preserve">Spadki poprzeczne podbudowy </w:t>
      </w:r>
    </w:p>
    <w:p w:rsidR="005761EC" w:rsidRPr="00711031" w:rsidRDefault="005761EC" w:rsidP="005761EC">
      <w:pPr>
        <w:ind w:right="-11"/>
      </w:pPr>
      <w:r w:rsidRPr="00711031">
        <w:tab/>
        <w:t xml:space="preserve">Spadki poprzeczne podbudowy na prostych i łukach powinny być zgodne z dokumentacją projektową,  z tolerancją </w:t>
      </w:r>
      <w:r w:rsidRPr="00711031">
        <w:sym w:font="Symbol" w:char="F0B1"/>
      </w:r>
      <w:r w:rsidRPr="00711031">
        <w:t xml:space="preserve"> 0,5 %.</w:t>
      </w:r>
    </w:p>
    <w:p w:rsidR="005761EC" w:rsidRPr="00711031" w:rsidRDefault="005761EC" w:rsidP="005761EC">
      <w:pPr>
        <w:spacing w:before="120" w:after="120"/>
        <w:ind w:right="-11"/>
      </w:pPr>
      <w:r w:rsidRPr="00711031">
        <w:rPr>
          <w:b/>
        </w:rPr>
        <w:t xml:space="preserve">6.4.5. </w:t>
      </w:r>
      <w:r w:rsidRPr="00711031">
        <w:t xml:space="preserve">Rzędne wysokościowe podbudowy </w:t>
      </w:r>
    </w:p>
    <w:p w:rsidR="005761EC" w:rsidRPr="00711031" w:rsidRDefault="005761EC" w:rsidP="005761EC">
      <w:pPr>
        <w:ind w:right="-11"/>
      </w:pPr>
      <w:r w:rsidRPr="00711031">
        <w:lastRenderedPageBreak/>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711031">
          <w:t>1 cm</w:t>
        </w:r>
      </w:smartTag>
      <w:r w:rsidRPr="00711031">
        <w:t xml:space="preserve">, </w:t>
      </w:r>
      <w:smartTag w:uri="urn:schemas-microsoft-com:office:smarttags" w:element="metricconverter">
        <w:smartTagPr>
          <w:attr w:name="ProductID" w:val="-2 cm"/>
        </w:smartTagPr>
        <w:r w:rsidRPr="00711031">
          <w:t xml:space="preserve">-2 </w:t>
        </w:r>
        <w:proofErr w:type="spellStart"/>
        <w:r w:rsidRPr="00711031">
          <w:t>cm</w:t>
        </w:r>
      </w:smartTag>
      <w:proofErr w:type="spellEnd"/>
      <w:r w:rsidRPr="00711031">
        <w:t>.</w:t>
      </w:r>
    </w:p>
    <w:p w:rsidR="005761EC" w:rsidRPr="00711031" w:rsidRDefault="005761EC" w:rsidP="005761EC">
      <w:pPr>
        <w:spacing w:before="120" w:after="120"/>
        <w:ind w:right="-11"/>
      </w:pPr>
      <w:r w:rsidRPr="00711031">
        <w:rPr>
          <w:b/>
        </w:rPr>
        <w:t xml:space="preserve">6.4.6. </w:t>
      </w:r>
      <w:r w:rsidRPr="00711031">
        <w:t>Ukształtowanie osi podbudowy i ulepszonego podłoża</w:t>
      </w:r>
    </w:p>
    <w:p w:rsidR="005761EC" w:rsidRPr="00711031" w:rsidRDefault="005761EC" w:rsidP="005761EC">
      <w:pPr>
        <w:ind w:right="-11"/>
      </w:pPr>
      <w:r w:rsidRPr="00711031">
        <w:tab/>
        <w:t xml:space="preserve">Oś podbudowy w planie nie może być przesunięta w stosunku do osi projektowanej o więcej niż </w:t>
      </w:r>
      <w:r w:rsidRPr="00711031">
        <w:sym w:font="Symbol" w:char="F0B1"/>
      </w:r>
      <w:r w:rsidRPr="00711031">
        <w:t xml:space="preserve"> </w:t>
      </w:r>
      <w:smartTag w:uri="urn:schemas-microsoft-com:office:smarttags" w:element="metricconverter">
        <w:smartTagPr>
          <w:attr w:name="ProductID" w:val="5 cm"/>
        </w:smartTagPr>
        <w:r w:rsidRPr="00711031">
          <w:t xml:space="preserve">5 </w:t>
        </w:r>
        <w:proofErr w:type="spellStart"/>
        <w:r w:rsidRPr="00711031">
          <w:t>cm</w:t>
        </w:r>
      </w:smartTag>
      <w:proofErr w:type="spellEnd"/>
      <w:r w:rsidRPr="00711031">
        <w:t>.</w:t>
      </w:r>
    </w:p>
    <w:p w:rsidR="005761EC" w:rsidRPr="00711031" w:rsidRDefault="005761EC" w:rsidP="005761EC">
      <w:pPr>
        <w:spacing w:before="120" w:after="120"/>
        <w:ind w:right="-11"/>
      </w:pPr>
      <w:r w:rsidRPr="00711031">
        <w:rPr>
          <w:b/>
        </w:rPr>
        <w:t xml:space="preserve">6.4.7. </w:t>
      </w:r>
      <w:r w:rsidRPr="00711031">
        <w:t>Grubość podbudowy i ulepszonego podłoża</w:t>
      </w:r>
    </w:p>
    <w:p w:rsidR="005761EC" w:rsidRPr="00711031" w:rsidRDefault="005761EC" w:rsidP="005761EC">
      <w:pPr>
        <w:ind w:right="-11"/>
      </w:pPr>
      <w:r w:rsidRPr="00711031">
        <w:tab/>
        <w:t>Grubość podbudowy nie może się  różnić od grubości projektowanej o więcej niż:</w:t>
      </w:r>
    </w:p>
    <w:p w:rsidR="005761EC" w:rsidRPr="00711031" w:rsidRDefault="005761EC" w:rsidP="005761EC">
      <w:pPr>
        <w:ind w:right="-11"/>
      </w:pPr>
      <w:r w:rsidRPr="00711031">
        <w:t xml:space="preserve">- dla podbudowy zasadniczej  </w:t>
      </w:r>
      <w:r w:rsidRPr="00711031">
        <w:sym w:font="Symbol" w:char="F0B1"/>
      </w:r>
      <w:r w:rsidRPr="00711031">
        <w:t xml:space="preserve"> 10%,</w:t>
      </w:r>
    </w:p>
    <w:p w:rsidR="005761EC" w:rsidRPr="00711031" w:rsidRDefault="005761EC" w:rsidP="005761EC">
      <w:pPr>
        <w:pStyle w:val="tekstost"/>
        <w:rPr>
          <w:sz w:val="24"/>
          <w:szCs w:val="24"/>
        </w:rPr>
      </w:pPr>
      <w:r w:rsidRPr="00711031">
        <w:rPr>
          <w:sz w:val="24"/>
          <w:szCs w:val="24"/>
        </w:rPr>
        <w:t>- dla podbudowy pomocniczej +10%, -15%.</w:t>
      </w:r>
    </w:p>
    <w:p w:rsidR="005761EC" w:rsidRPr="00711031" w:rsidRDefault="005761EC" w:rsidP="005761EC">
      <w:pPr>
        <w:pStyle w:val="tekstost"/>
        <w:spacing w:before="120"/>
        <w:rPr>
          <w:sz w:val="24"/>
          <w:szCs w:val="24"/>
        </w:rPr>
      </w:pPr>
      <w:r w:rsidRPr="00711031">
        <w:rPr>
          <w:b/>
          <w:sz w:val="24"/>
          <w:szCs w:val="24"/>
        </w:rPr>
        <w:t xml:space="preserve">6.4.8. </w:t>
      </w:r>
      <w:r w:rsidRPr="00711031">
        <w:rPr>
          <w:sz w:val="24"/>
          <w:szCs w:val="24"/>
        </w:rPr>
        <w:t>Nośność podbudowy</w:t>
      </w:r>
    </w:p>
    <w:p w:rsidR="005761EC" w:rsidRPr="00711031" w:rsidRDefault="005761EC" w:rsidP="005761EC">
      <w:pPr>
        <w:pStyle w:val="tekstost"/>
        <w:numPr>
          <w:ilvl w:val="0"/>
          <w:numId w:val="2"/>
        </w:numPr>
        <w:spacing w:before="120"/>
        <w:ind w:firstLine="0"/>
        <w:rPr>
          <w:sz w:val="24"/>
          <w:szCs w:val="24"/>
        </w:rPr>
      </w:pPr>
      <w:r w:rsidRPr="00711031">
        <w:rPr>
          <w:sz w:val="24"/>
          <w:szCs w:val="24"/>
        </w:rPr>
        <w:t>moduł odkształcenia wg BN-64/8931-02 [27] powinien być zgodny z podanym w tablicy 4,</w:t>
      </w:r>
    </w:p>
    <w:p w:rsidR="005761EC" w:rsidRPr="00711031" w:rsidRDefault="005761EC" w:rsidP="005761EC">
      <w:pPr>
        <w:pStyle w:val="tekstost"/>
        <w:numPr>
          <w:ilvl w:val="0"/>
          <w:numId w:val="2"/>
        </w:numPr>
        <w:ind w:left="284" w:firstLine="0"/>
        <w:rPr>
          <w:sz w:val="24"/>
          <w:szCs w:val="24"/>
        </w:rPr>
      </w:pPr>
      <w:r w:rsidRPr="00711031">
        <w:rPr>
          <w:sz w:val="24"/>
          <w:szCs w:val="24"/>
        </w:rPr>
        <w:t>ugięcie sprężyste wg BN-70/8931-06 [29] powinno być zgodne z podanym w tablicy 4.</w:t>
      </w:r>
    </w:p>
    <w:p w:rsidR="005761EC" w:rsidRPr="00711031" w:rsidRDefault="005761EC" w:rsidP="005761EC">
      <w:pPr>
        <w:pStyle w:val="tekstost"/>
        <w:spacing w:before="240" w:after="120"/>
        <w:rPr>
          <w:sz w:val="24"/>
          <w:szCs w:val="24"/>
        </w:rPr>
      </w:pPr>
      <w:r w:rsidRPr="00711031">
        <w:rPr>
          <w:sz w:val="24"/>
          <w:szCs w:val="24"/>
        </w:rPr>
        <w:t>Tablica 4. Cechy podbudowy</w:t>
      </w:r>
    </w:p>
    <w:tbl>
      <w:tblPr>
        <w:tblW w:w="0" w:type="auto"/>
        <w:tblLayout w:type="fixed"/>
        <w:tblCellMar>
          <w:left w:w="70" w:type="dxa"/>
          <w:right w:w="70" w:type="dxa"/>
        </w:tblCellMar>
        <w:tblLook w:val="0000"/>
      </w:tblPr>
      <w:tblGrid>
        <w:gridCol w:w="1204"/>
        <w:gridCol w:w="1276"/>
        <w:gridCol w:w="1257"/>
        <w:gridCol w:w="1295"/>
        <w:gridCol w:w="19"/>
        <w:gridCol w:w="1228"/>
        <w:gridCol w:w="1231"/>
      </w:tblGrid>
      <w:tr w:rsidR="005761EC" w:rsidRPr="00711031" w:rsidTr="009F7B1B">
        <w:tblPrEx>
          <w:tblCellMar>
            <w:top w:w="0" w:type="dxa"/>
            <w:bottom w:w="0" w:type="dxa"/>
          </w:tblCellMar>
        </w:tblPrEx>
        <w:tc>
          <w:tcPr>
            <w:tcW w:w="1204" w:type="dxa"/>
            <w:tcBorders>
              <w:top w:val="single" w:sz="6" w:space="0" w:color="auto"/>
              <w:left w:val="single" w:sz="6" w:space="0" w:color="auto"/>
            </w:tcBorders>
          </w:tcPr>
          <w:p w:rsidR="005761EC" w:rsidRPr="00711031" w:rsidRDefault="005761EC" w:rsidP="009F7B1B">
            <w:pPr>
              <w:pStyle w:val="tekstost"/>
              <w:jc w:val="center"/>
              <w:rPr>
                <w:sz w:val="24"/>
                <w:szCs w:val="24"/>
              </w:rPr>
            </w:pPr>
          </w:p>
        </w:tc>
        <w:tc>
          <w:tcPr>
            <w:tcW w:w="6306" w:type="dxa"/>
            <w:gridSpan w:val="6"/>
            <w:tcBorders>
              <w:top w:val="single" w:sz="6" w:space="0" w:color="auto"/>
              <w:left w:val="single" w:sz="6" w:space="0" w:color="auto"/>
              <w:bottom w:val="single" w:sz="6" w:space="0" w:color="auto"/>
              <w:right w:val="single" w:sz="6" w:space="0" w:color="auto"/>
            </w:tcBorders>
          </w:tcPr>
          <w:p w:rsidR="005761EC" w:rsidRPr="00711031" w:rsidRDefault="005761EC" w:rsidP="009F7B1B">
            <w:pPr>
              <w:pStyle w:val="tekstost"/>
              <w:jc w:val="center"/>
              <w:rPr>
                <w:sz w:val="24"/>
                <w:szCs w:val="24"/>
              </w:rPr>
            </w:pPr>
            <w:r w:rsidRPr="00711031">
              <w:rPr>
                <w:sz w:val="24"/>
                <w:szCs w:val="24"/>
              </w:rPr>
              <w:t>Wymagane cechy podbudowy</w:t>
            </w:r>
          </w:p>
        </w:tc>
      </w:tr>
      <w:tr w:rsidR="005761EC" w:rsidRPr="00711031" w:rsidTr="009F7B1B">
        <w:tblPrEx>
          <w:tblCellMar>
            <w:top w:w="0" w:type="dxa"/>
            <w:bottom w:w="0" w:type="dxa"/>
          </w:tblCellMar>
        </w:tblPrEx>
        <w:tc>
          <w:tcPr>
            <w:tcW w:w="1204" w:type="dxa"/>
            <w:tcBorders>
              <w:left w:val="single" w:sz="6" w:space="0" w:color="auto"/>
            </w:tcBorders>
          </w:tcPr>
          <w:p w:rsidR="005761EC" w:rsidRPr="00711031" w:rsidRDefault="005761EC" w:rsidP="009F7B1B">
            <w:pPr>
              <w:jc w:val="center"/>
            </w:pPr>
            <w:r w:rsidRPr="00711031">
              <w:t>Podbudowa</w:t>
            </w:r>
          </w:p>
          <w:p w:rsidR="005761EC" w:rsidRPr="00711031" w:rsidRDefault="005761EC" w:rsidP="009F7B1B">
            <w:pPr>
              <w:jc w:val="center"/>
            </w:pPr>
            <w:r w:rsidRPr="00711031">
              <w:t>z kruszywa o wskaźniku w</w:t>
            </w:r>
            <w:r w:rsidRPr="00711031">
              <w:rPr>
                <w:vertAlign w:val="subscript"/>
              </w:rPr>
              <w:t>noś</w:t>
            </w:r>
            <w:r w:rsidRPr="00711031">
              <w:t xml:space="preserve"> nie mniejszym </w:t>
            </w:r>
          </w:p>
        </w:tc>
        <w:tc>
          <w:tcPr>
            <w:tcW w:w="1276" w:type="dxa"/>
            <w:tcBorders>
              <w:top w:val="single" w:sz="6" w:space="0" w:color="auto"/>
              <w:left w:val="single" w:sz="6" w:space="0" w:color="auto"/>
              <w:right w:val="single" w:sz="6" w:space="0" w:color="auto"/>
            </w:tcBorders>
          </w:tcPr>
          <w:p w:rsidR="005761EC" w:rsidRPr="00711031" w:rsidRDefault="005761EC" w:rsidP="009F7B1B">
            <w:pPr>
              <w:jc w:val="center"/>
            </w:pPr>
          </w:p>
          <w:p w:rsidR="005761EC" w:rsidRPr="00711031" w:rsidRDefault="005761EC" w:rsidP="009F7B1B">
            <w:pPr>
              <w:jc w:val="center"/>
            </w:pPr>
            <w:r w:rsidRPr="00711031">
              <w:t>Wskaźnik zagęszczenia I</w:t>
            </w:r>
            <w:r w:rsidRPr="00711031">
              <w:rPr>
                <w:vertAlign w:val="subscript"/>
              </w:rPr>
              <w:t>S</w:t>
            </w:r>
            <w:r w:rsidRPr="00711031">
              <w:t xml:space="preserve">   nie</w:t>
            </w:r>
          </w:p>
          <w:p w:rsidR="005761EC" w:rsidRPr="00711031" w:rsidRDefault="005761EC" w:rsidP="009F7B1B">
            <w:pPr>
              <w:jc w:val="center"/>
            </w:pPr>
            <w:r w:rsidRPr="00711031">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5761EC" w:rsidRPr="00711031" w:rsidRDefault="005761EC" w:rsidP="009F7B1B">
            <w:pPr>
              <w:jc w:val="center"/>
            </w:pPr>
          </w:p>
          <w:p w:rsidR="005761EC" w:rsidRPr="00711031" w:rsidRDefault="005761EC" w:rsidP="009F7B1B">
            <w:pPr>
              <w:spacing w:before="120"/>
              <w:jc w:val="center"/>
            </w:pPr>
            <w:r w:rsidRPr="00711031">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5761EC" w:rsidRPr="00711031" w:rsidRDefault="005761EC" w:rsidP="009F7B1B">
            <w:pPr>
              <w:spacing w:before="180"/>
              <w:jc w:val="center"/>
            </w:pPr>
            <w:r w:rsidRPr="00711031">
              <w:t xml:space="preserve">Minimalny moduł </w:t>
            </w:r>
            <w:proofErr w:type="spellStart"/>
            <w:r w:rsidRPr="00711031">
              <w:t>odkształ-cenia</w:t>
            </w:r>
            <w:proofErr w:type="spellEnd"/>
            <w:r w:rsidRPr="00711031">
              <w:t xml:space="preserve"> mierzony płytą o średnicy </w:t>
            </w:r>
            <w:smartTag w:uri="urn:schemas-microsoft-com:office:smarttags" w:element="metricconverter">
              <w:smartTagPr>
                <w:attr w:name="ProductID" w:val="30 cm"/>
              </w:smartTagPr>
              <w:r w:rsidRPr="00711031">
                <w:t>30 cm</w:t>
              </w:r>
            </w:smartTag>
            <w:r w:rsidRPr="00711031">
              <w:t xml:space="preserve">, </w:t>
            </w:r>
            <w:proofErr w:type="spellStart"/>
            <w:r w:rsidRPr="00711031">
              <w:t>MPa</w:t>
            </w:r>
            <w:proofErr w:type="spellEnd"/>
          </w:p>
        </w:tc>
      </w:tr>
      <w:tr w:rsidR="005761EC" w:rsidRPr="00711031" w:rsidTr="009F7B1B">
        <w:tblPrEx>
          <w:tblCellMar>
            <w:top w:w="0" w:type="dxa"/>
            <w:bottom w:w="0" w:type="dxa"/>
          </w:tblCellMar>
        </w:tblPrEx>
        <w:tc>
          <w:tcPr>
            <w:tcW w:w="1204" w:type="dxa"/>
            <w:tcBorders>
              <w:left w:val="single" w:sz="6" w:space="0" w:color="auto"/>
              <w:bottom w:val="double" w:sz="6" w:space="0" w:color="auto"/>
              <w:right w:val="single" w:sz="6" w:space="0" w:color="auto"/>
            </w:tcBorders>
          </w:tcPr>
          <w:p w:rsidR="005761EC" w:rsidRPr="00711031" w:rsidRDefault="005761EC" w:rsidP="009F7B1B">
            <w:pPr>
              <w:jc w:val="center"/>
            </w:pPr>
            <w:r w:rsidRPr="00711031">
              <w:t>Niż,   %</w:t>
            </w:r>
          </w:p>
        </w:tc>
        <w:tc>
          <w:tcPr>
            <w:tcW w:w="1276" w:type="dxa"/>
            <w:tcBorders>
              <w:left w:val="single" w:sz="6" w:space="0" w:color="auto"/>
              <w:bottom w:val="double" w:sz="6" w:space="0" w:color="auto"/>
              <w:right w:val="single" w:sz="6" w:space="0" w:color="auto"/>
            </w:tcBorders>
          </w:tcPr>
          <w:p w:rsidR="005761EC" w:rsidRPr="00711031" w:rsidRDefault="005761EC" w:rsidP="009F7B1B">
            <w:pPr>
              <w:jc w:val="center"/>
            </w:pPr>
          </w:p>
        </w:tc>
        <w:tc>
          <w:tcPr>
            <w:tcW w:w="1257" w:type="dxa"/>
            <w:tcBorders>
              <w:left w:val="single" w:sz="6" w:space="0" w:color="auto"/>
              <w:bottom w:val="double" w:sz="6" w:space="0" w:color="auto"/>
              <w:right w:val="single" w:sz="6" w:space="0" w:color="auto"/>
            </w:tcBorders>
          </w:tcPr>
          <w:p w:rsidR="005761EC" w:rsidRPr="00711031" w:rsidRDefault="005761EC" w:rsidP="009F7B1B">
            <w:pPr>
              <w:spacing w:before="60"/>
              <w:jc w:val="center"/>
            </w:pPr>
            <w:r w:rsidRPr="00711031">
              <w:t xml:space="preserve">40 </w:t>
            </w:r>
            <w:proofErr w:type="spellStart"/>
            <w:r w:rsidRPr="00711031">
              <w:t>kN</w:t>
            </w:r>
            <w:proofErr w:type="spellEnd"/>
          </w:p>
        </w:tc>
        <w:tc>
          <w:tcPr>
            <w:tcW w:w="1314" w:type="dxa"/>
            <w:gridSpan w:val="2"/>
            <w:tcBorders>
              <w:left w:val="single" w:sz="6" w:space="0" w:color="auto"/>
              <w:bottom w:val="double" w:sz="6" w:space="0" w:color="auto"/>
              <w:right w:val="single" w:sz="6" w:space="0" w:color="auto"/>
            </w:tcBorders>
          </w:tcPr>
          <w:p w:rsidR="005761EC" w:rsidRPr="00711031" w:rsidRDefault="005761EC" w:rsidP="009F7B1B">
            <w:pPr>
              <w:spacing w:before="60"/>
              <w:jc w:val="center"/>
            </w:pPr>
            <w:r w:rsidRPr="00711031">
              <w:t xml:space="preserve">50 </w:t>
            </w:r>
            <w:proofErr w:type="spellStart"/>
            <w:r w:rsidRPr="00711031">
              <w:t>kN</w:t>
            </w:r>
            <w:proofErr w:type="spellEnd"/>
          </w:p>
        </w:tc>
        <w:tc>
          <w:tcPr>
            <w:tcW w:w="1228" w:type="dxa"/>
            <w:tcBorders>
              <w:left w:val="single" w:sz="6" w:space="0" w:color="auto"/>
              <w:bottom w:val="double" w:sz="6" w:space="0" w:color="auto"/>
              <w:right w:val="single" w:sz="6" w:space="0" w:color="auto"/>
            </w:tcBorders>
          </w:tcPr>
          <w:p w:rsidR="005761EC" w:rsidRPr="00711031" w:rsidRDefault="005761EC" w:rsidP="009F7B1B">
            <w:pPr>
              <w:jc w:val="center"/>
            </w:pPr>
            <w:r w:rsidRPr="00711031">
              <w:t>od pierwszego obciążenia E</w:t>
            </w:r>
            <w:r w:rsidRPr="00711031">
              <w:rPr>
                <w:vertAlign w:val="subscript"/>
              </w:rPr>
              <w:t>1</w:t>
            </w:r>
          </w:p>
        </w:tc>
        <w:tc>
          <w:tcPr>
            <w:tcW w:w="1228" w:type="dxa"/>
            <w:tcBorders>
              <w:left w:val="single" w:sz="6" w:space="0" w:color="auto"/>
              <w:bottom w:val="double" w:sz="6" w:space="0" w:color="auto"/>
              <w:right w:val="single" w:sz="6" w:space="0" w:color="auto"/>
            </w:tcBorders>
          </w:tcPr>
          <w:p w:rsidR="005761EC" w:rsidRPr="00711031" w:rsidRDefault="005761EC" w:rsidP="009F7B1B">
            <w:pPr>
              <w:jc w:val="center"/>
            </w:pPr>
            <w:r w:rsidRPr="00711031">
              <w:t>od drugiego obciążenia E</w:t>
            </w:r>
            <w:r w:rsidRPr="00711031">
              <w:rPr>
                <w:vertAlign w:val="subscript"/>
              </w:rPr>
              <w:t>2</w:t>
            </w:r>
          </w:p>
        </w:tc>
      </w:tr>
      <w:tr w:rsidR="005761EC" w:rsidRPr="00711031" w:rsidTr="009F7B1B">
        <w:tblPrEx>
          <w:tblCellMar>
            <w:top w:w="0" w:type="dxa"/>
            <w:bottom w:w="0" w:type="dxa"/>
          </w:tblCellMar>
        </w:tblPrEx>
        <w:tc>
          <w:tcPr>
            <w:tcW w:w="1204" w:type="dxa"/>
            <w:tcBorders>
              <w:left w:val="single" w:sz="6" w:space="0" w:color="auto"/>
              <w:bottom w:val="single" w:sz="6" w:space="0" w:color="auto"/>
              <w:right w:val="single" w:sz="6" w:space="0" w:color="auto"/>
            </w:tcBorders>
          </w:tcPr>
          <w:p w:rsidR="005761EC" w:rsidRPr="00711031" w:rsidRDefault="005761EC" w:rsidP="009F7B1B">
            <w:pPr>
              <w:spacing w:before="60"/>
              <w:jc w:val="center"/>
            </w:pPr>
            <w:r w:rsidRPr="00711031">
              <w:t>60</w:t>
            </w:r>
          </w:p>
          <w:p w:rsidR="005761EC" w:rsidRPr="00711031" w:rsidRDefault="005761EC" w:rsidP="009F7B1B">
            <w:pPr>
              <w:jc w:val="center"/>
            </w:pPr>
            <w:r w:rsidRPr="00711031">
              <w:t>80</w:t>
            </w:r>
          </w:p>
          <w:p w:rsidR="005761EC" w:rsidRPr="00711031" w:rsidRDefault="005761EC" w:rsidP="009F7B1B">
            <w:pPr>
              <w:spacing w:after="60"/>
              <w:jc w:val="center"/>
            </w:pPr>
            <w:r w:rsidRPr="00711031">
              <w:t>120</w:t>
            </w:r>
          </w:p>
        </w:tc>
        <w:tc>
          <w:tcPr>
            <w:tcW w:w="1276" w:type="dxa"/>
            <w:tcBorders>
              <w:left w:val="single" w:sz="6" w:space="0" w:color="auto"/>
              <w:bottom w:val="single" w:sz="6" w:space="0" w:color="auto"/>
              <w:right w:val="single" w:sz="6" w:space="0" w:color="auto"/>
            </w:tcBorders>
          </w:tcPr>
          <w:p w:rsidR="005761EC" w:rsidRPr="00711031" w:rsidRDefault="005761EC" w:rsidP="009F7B1B">
            <w:pPr>
              <w:spacing w:before="60"/>
              <w:jc w:val="center"/>
            </w:pPr>
            <w:r w:rsidRPr="00711031">
              <w:t>1,0</w:t>
            </w:r>
          </w:p>
          <w:p w:rsidR="005761EC" w:rsidRPr="00711031" w:rsidRDefault="005761EC" w:rsidP="009F7B1B">
            <w:pPr>
              <w:jc w:val="center"/>
            </w:pPr>
            <w:r w:rsidRPr="00711031">
              <w:t>1,0</w:t>
            </w:r>
          </w:p>
          <w:p w:rsidR="005761EC" w:rsidRPr="00711031" w:rsidRDefault="005761EC" w:rsidP="009F7B1B">
            <w:pPr>
              <w:jc w:val="center"/>
            </w:pPr>
            <w:r w:rsidRPr="00711031">
              <w:t>1,03</w:t>
            </w:r>
          </w:p>
        </w:tc>
        <w:tc>
          <w:tcPr>
            <w:tcW w:w="1257" w:type="dxa"/>
            <w:tcBorders>
              <w:left w:val="single" w:sz="6" w:space="0" w:color="auto"/>
              <w:bottom w:val="single" w:sz="6" w:space="0" w:color="auto"/>
              <w:right w:val="single" w:sz="6" w:space="0" w:color="auto"/>
            </w:tcBorders>
          </w:tcPr>
          <w:p w:rsidR="005761EC" w:rsidRPr="00711031" w:rsidRDefault="005761EC" w:rsidP="009F7B1B">
            <w:pPr>
              <w:spacing w:before="60"/>
              <w:jc w:val="center"/>
            </w:pPr>
            <w:r w:rsidRPr="00711031">
              <w:t>1,40</w:t>
            </w:r>
          </w:p>
          <w:p w:rsidR="005761EC" w:rsidRPr="00711031" w:rsidRDefault="005761EC" w:rsidP="009F7B1B">
            <w:pPr>
              <w:jc w:val="center"/>
            </w:pPr>
            <w:r w:rsidRPr="00711031">
              <w:t>1,25</w:t>
            </w:r>
          </w:p>
          <w:p w:rsidR="005761EC" w:rsidRPr="00711031" w:rsidRDefault="005761EC" w:rsidP="009F7B1B">
            <w:pPr>
              <w:jc w:val="center"/>
            </w:pPr>
            <w:r w:rsidRPr="00711031">
              <w:t>1,10</w:t>
            </w:r>
          </w:p>
        </w:tc>
        <w:tc>
          <w:tcPr>
            <w:tcW w:w="1314" w:type="dxa"/>
            <w:gridSpan w:val="2"/>
            <w:tcBorders>
              <w:left w:val="single" w:sz="6" w:space="0" w:color="auto"/>
              <w:bottom w:val="single" w:sz="6" w:space="0" w:color="auto"/>
              <w:right w:val="single" w:sz="6" w:space="0" w:color="auto"/>
            </w:tcBorders>
          </w:tcPr>
          <w:p w:rsidR="005761EC" w:rsidRPr="00711031" w:rsidRDefault="005761EC" w:rsidP="009F7B1B">
            <w:pPr>
              <w:spacing w:before="60"/>
              <w:jc w:val="center"/>
            </w:pPr>
            <w:r w:rsidRPr="00711031">
              <w:t>1,60</w:t>
            </w:r>
          </w:p>
          <w:p w:rsidR="005761EC" w:rsidRPr="00711031" w:rsidRDefault="005761EC" w:rsidP="009F7B1B">
            <w:pPr>
              <w:jc w:val="center"/>
            </w:pPr>
            <w:r w:rsidRPr="00711031">
              <w:t>1,40</w:t>
            </w:r>
          </w:p>
          <w:p w:rsidR="005761EC" w:rsidRPr="00711031" w:rsidRDefault="005761EC" w:rsidP="009F7B1B">
            <w:pPr>
              <w:jc w:val="center"/>
            </w:pPr>
            <w:r w:rsidRPr="00711031">
              <w:t>1,20</w:t>
            </w:r>
          </w:p>
        </w:tc>
        <w:tc>
          <w:tcPr>
            <w:tcW w:w="1228" w:type="dxa"/>
            <w:tcBorders>
              <w:left w:val="single" w:sz="6" w:space="0" w:color="auto"/>
              <w:bottom w:val="single" w:sz="6" w:space="0" w:color="auto"/>
              <w:right w:val="single" w:sz="6" w:space="0" w:color="auto"/>
            </w:tcBorders>
          </w:tcPr>
          <w:p w:rsidR="005761EC" w:rsidRPr="00711031" w:rsidRDefault="005761EC" w:rsidP="009F7B1B">
            <w:pPr>
              <w:spacing w:before="60"/>
              <w:jc w:val="center"/>
            </w:pPr>
            <w:r w:rsidRPr="00711031">
              <w:t>60</w:t>
            </w:r>
          </w:p>
          <w:p w:rsidR="005761EC" w:rsidRPr="00711031" w:rsidRDefault="005761EC" w:rsidP="009F7B1B">
            <w:pPr>
              <w:jc w:val="center"/>
            </w:pPr>
            <w:r w:rsidRPr="00711031">
              <w:t>80</w:t>
            </w:r>
          </w:p>
          <w:p w:rsidR="005761EC" w:rsidRPr="00711031" w:rsidRDefault="005761EC" w:rsidP="009F7B1B">
            <w:pPr>
              <w:jc w:val="center"/>
            </w:pPr>
            <w:r w:rsidRPr="00711031">
              <w:t>100</w:t>
            </w:r>
          </w:p>
        </w:tc>
        <w:tc>
          <w:tcPr>
            <w:tcW w:w="1228" w:type="dxa"/>
            <w:tcBorders>
              <w:left w:val="single" w:sz="6" w:space="0" w:color="auto"/>
              <w:bottom w:val="single" w:sz="6" w:space="0" w:color="auto"/>
              <w:right w:val="single" w:sz="6" w:space="0" w:color="auto"/>
            </w:tcBorders>
          </w:tcPr>
          <w:p w:rsidR="005761EC" w:rsidRPr="00711031" w:rsidRDefault="005761EC" w:rsidP="009F7B1B">
            <w:pPr>
              <w:spacing w:before="60"/>
              <w:jc w:val="center"/>
            </w:pPr>
            <w:r w:rsidRPr="00711031">
              <w:t>120</w:t>
            </w:r>
          </w:p>
          <w:p w:rsidR="005761EC" w:rsidRPr="00711031" w:rsidRDefault="005761EC" w:rsidP="009F7B1B">
            <w:pPr>
              <w:jc w:val="center"/>
            </w:pPr>
            <w:r w:rsidRPr="00711031">
              <w:t>140</w:t>
            </w:r>
          </w:p>
          <w:p w:rsidR="005761EC" w:rsidRPr="00711031" w:rsidRDefault="005761EC" w:rsidP="009F7B1B">
            <w:pPr>
              <w:jc w:val="center"/>
            </w:pPr>
            <w:r w:rsidRPr="00711031">
              <w:t>180</w:t>
            </w:r>
          </w:p>
        </w:tc>
      </w:tr>
    </w:tbl>
    <w:p w:rsidR="005761EC" w:rsidRPr="00711031" w:rsidRDefault="005761EC" w:rsidP="005761EC"/>
    <w:p w:rsidR="005761EC" w:rsidRPr="00711031" w:rsidRDefault="005761EC" w:rsidP="005761EC">
      <w:pPr>
        <w:pStyle w:val="Nagwek2"/>
        <w:rPr>
          <w:sz w:val="24"/>
          <w:szCs w:val="24"/>
        </w:rPr>
      </w:pPr>
      <w:r w:rsidRPr="00711031">
        <w:rPr>
          <w:sz w:val="24"/>
          <w:szCs w:val="24"/>
        </w:rPr>
        <w:t xml:space="preserve">6.5. Zasady postępowania z wadliwie wykonanymi odcinkami podbudowy </w:t>
      </w:r>
    </w:p>
    <w:p w:rsidR="005761EC" w:rsidRPr="00711031" w:rsidRDefault="005761EC" w:rsidP="005761EC">
      <w:r w:rsidRPr="00711031">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711031">
          <w:t>10 cm</w:t>
        </w:r>
      </w:smartTag>
      <w:r w:rsidRPr="00711031">
        <w:t>, wyrównane i powtórnie zagęszczone. Dodanie nowego materiału bez spulchnienia wykonanej warstwy jest niedopuszczalne.</w:t>
      </w:r>
    </w:p>
    <w:p w:rsidR="005761EC" w:rsidRPr="00711031" w:rsidRDefault="005761EC" w:rsidP="005761EC">
      <w:r w:rsidRPr="00711031">
        <w:tab/>
        <w:t xml:space="preserve">Jeżeli szerokość podbudowy jest mniejsza od szerokości projektowanej o więcej niż </w:t>
      </w:r>
      <w:smartTag w:uri="urn:schemas-microsoft-com:office:smarttags" w:element="metricconverter">
        <w:smartTagPr>
          <w:attr w:name="ProductID" w:val="5 cm"/>
        </w:smartTagPr>
        <w:r w:rsidRPr="00711031">
          <w:t>5 cm</w:t>
        </w:r>
      </w:smartTag>
      <w:r w:rsidRPr="00711031">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5761EC" w:rsidRPr="00711031" w:rsidRDefault="005761EC" w:rsidP="005761EC">
      <w:pPr>
        <w:pStyle w:val="Nagwek1"/>
        <w:rPr>
          <w:sz w:val="24"/>
          <w:szCs w:val="24"/>
        </w:rPr>
      </w:pPr>
      <w:r w:rsidRPr="00711031">
        <w:rPr>
          <w:sz w:val="24"/>
          <w:szCs w:val="24"/>
        </w:rPr>
        <w:t>7. OBMIAR ROBÓT</w:t>
      </w:r>
    </w:p>
    <w:p w:rsidR="005761EC" w:rsidRPr="00711031" w:rsidRDefault="005761EC" w:rsidP="005761EC">
      <w:pPr>
        <w:ind w:right="-11"/>
      </w:pPr>
      <w:r w:rsidRPr="00711031">
        <w:tab/>
        <w:t>Jednostką obmiarową jest  m</w:t>
      </w:r>
      <w:r w:rsidRPr="00711031">
        <w:rPr>
          <w:vertAlign w:val="superscript"/>
        </w:rPr>
        <w:t>2</w:t>
      </w:r>
      <w:r w:rsidRPr="00711031">
        <w:t xml:space="preserve"> (metr kwadratowy) podbudowy  z kruszywa naturalnego stabilizowanego mechanicznie.</w:t>
      </w:r>
    </w:p>
    <w:p w:rsidR="005761EC" w:rsidRPr="00711031" w:rsidRDefault="005761EC" w:rsidP="005761EC">
      <w:pPr>
        <w:pStyle w:val="Nagwek1"/>
        <w:rPr>
          <w:sz w:val="24"/>
          <w:szCs w:val="24"/>
        </w:rPr>
      </w:pPr>
      <w:r w:rsidRPr="00711031">
        <w:rPr>
          <w:sz w:val="24"/>
          <w:szCs w:val="24"/>
        </w:rPr>
        <w:lastRenderedPageBreak/>
        <w:t>8. ODBIÓR ROBÓT</w:t>
      </w:r>
    </w:p>
    <w:p w:rsidR="005761EC" w:rsidRPr="00711031" w:rsidRDefault="005761EC" w:rsidP="005761EC">
      <w:pPr>
        <w:ind w:right="-11"/>
      </w:pPr>
      <w:r w:rsidRPr="00711031">
        <w:tab/>
        <w:t xml:space="preserve">Ogólne zasady odbioru robót podano w SST D-00.00.00 „Wymagania ogólne” </w:t>
      </w:r>
      <w:proofErr w:type="spellStart"/>
      <w:r w:rsidRPr="00711031">
        <w:t>pkt</w:t>
      </w:r>
      <w:proofErr w:type="spellEnd"/>
      <w:r w:rsidRPr="00711031">
        <w:t xml:space="preserve"> 8.</w:t>
      </w:r>
    </w:p>
    <w:p w:rsidR="005761EC" w:rsidRPr="00711031" w:rsidRDefault="005761EC" w:rsidP="005761EC">
      <w:pPr>
        <w:ind w:right="-11"/>
      </w:pPr>
      <w:r w:rsidRPr="00711031">
        <w:tab/>
        <w:t xml:space="preserve">Roboty uznaje się za zgodne z dokumentacją projektową, SST i wymaganiami Inżyniera, jeżeli wszystkie pomiary i badania z zachowaniem tolerancji wg </w:t>
      </w:r>
      <w:proofErr w:type="spellStart"/>
      <w:r w:rsidRPr="00711031">
        <w:t>pkt</w:t>
      </w:r>
      <w:proofErr w:type="spellEnd"/>
      <w:r w:rsidRPr="00711031">
        <w:t xml:space="preserve"> 6 dały wyniki pozytywne.</w:t>
      </w:r>
    </w:p>
    <w:p w:rsidR="005761EC" w:rsidRPr="00711031" w:rsidRDefault="005761EC" w:rsidP="005761EC">
      <w:pPr>
        <w:pStyle w:val="Nagwek1"/>
        <w:rPr>
          <w:sz w:val="24"/>
          <w:szCs w:val="24"/>
        </w:rPr>
      </w:pPr>
      <w:r w:rsidRPr="00711031">
        <w:rPr>
          <w:sz w:val="24"/>
          <w:szCs w:val="24"/>
        </w:rPr>
        <w:t>9. PODSTAWA PŁATNOŚCI</w:t>
      </w:r>
    </w:p>
    <w:p w:rsidR="005761EC" w:rsidRPr="00711031" w:rsidRDefault="005761EC" w:rsidP="005761EC">
      <w:pPr>
        <w:pStyle w:val="Nagwek2"/>
        <w:rPr>
          <w:sz w:val="24"/>
          <w:szCs w:val="24"/>
        </w:rPr>
      </w:pPr>
      <w:r w:rsidRPr="00711031">
        <w:rPr>
          <w:sz w:val="24"/>
          <w:szCs w:val="24"/>
        </w:rPr>
        <w:t>9.1. Ogólne ustalenia dotyczące podstawy płatności</w:t>
      </w:r>
    </w:p>
    <w:p w:rsidR="005761EC" w:rsidRPr="00711031" w:rsidRDefault="005761EC" w:rsidP="005761EC">
      <w:pPr>
        <w:ind w:right="-11"/>
      </w:pPr>
      <w:r w:rsidRPr="00711031">
        <w:rPr>
          <w:b/>
        </w:rPr>
        <w:tab/>
      </w:r>
      <w:r w:rsidRPr="00711031">
        <w:t xml:space="preserve">Ogólne ustalenia dotyczące podstawy płatności podano w SST D-00.00.00 „Wymagania ogólne” </w:t>
      </w:r>
      <w:proofErr w:type="spellStart"/>
      <w:r w:rsidRPr="00711031">
        <w:t>pkt</w:t>
      </w:r>
      <w:proofErr w:type="spellEnd"/>
      <w:r w:rsidRPr="00711031">
        <w:t xml:space="preserve"> 9.</w:t>
      </w:r>
    </w:p>
    <w:p w:rsidR="005761EC" w:rsidRPr="00711031" w:rsidRDefault="005761EC" w:rsidP="005761EC">
      <w:pPr>
        <w:ind w:right="-11"/>
      </w:pPr>
    </w:p>
    <w:p w:rsidR="00F5690E" w:rsidRDefault="00F5690E"/>
    <w:sectPr w:rsidR="00F5690E" w:rsidSect="00F56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F122FC8"/>
    <w:multiLevelType w:val="hybridMultilevel"/>
    <w:tmpl w:val="6172DA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20722DF"/>
    <w:multiLevelType w:val="singleLevel"/>
    <w:tmpl w:val="DDD4CF64"/>
    <w:lvl w:ilvl="0">
      <w:start w:val="1"/>
      <w:numFmt w:val="lowerLetter"/>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61EC"/>
    <w:rsid w:val="00126887"/>
    <w:rsid w:val="002C14A1"/>
    <w:rsid w:val="005761EC"/>
    <w:rsid w:val="00F56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1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761EC"/>
    <w:pPr>
      <w:keepNext/>
      <w:keepLines/>
      <w:suppressAutoHyphens/>
      <w:spacing w:before="120" w:after="120"/>
      <w:jc w:val="both"/>
      <w:outlineLvl w:val="0"/>
    </w:pPr>
    <w:rPr>
      <w:b/>
      <w:caps/>
      <w:kern w:val="28"/>
      <w:sz w:val="20"/>
      <w:szCs w:val="20"/>
    </w:rPr>
  </w:style>
  <w:style w:type="paragraph" w:styleId="Nagwek2">
    <w:name w:val="heading 2"/>
    <w:basedOn w:val="Normalny"/>
    <w:next w:val="Normalny"/>
    <w:link w:val="Nagwek2Znak"/>
    <w:qFormat/>
    <w:rsid w:val="005761EC"/>
    <w:pPr>
      <w:keepNext/>
      <w:spacing w:before="120" w:after="120"/>
      <w:jc w:val="both"/>
      <w:outlineLvl w:val="1"/>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61EC"/>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5761EC"/>
    <w:rPr>
      <w:rFonts w:ascii="Times New Roman" w:eastAsia="Times New Roman" w:hAnsi="Times New Roman" w:cs="Times New Roman"/>
      <w:b/>
      <w:sz w:val="20"/>
      <w:szCs w:val="20"/>
      <w:lang w:eastAsia="pl-PL"/>
    </w:rPr>
  </w:style>
  <w:style w:type="paragraph" w:customStyle="1" w:styleId="tekstost">
    <w:name w:val="tekst ost"/>
    <w:basedOn w:val="Normalny"/>
    <w:rsid w:val="005761EC"/>
    <w:pPr>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1836</Words>
  <Characters>11020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Mular</dc:creator>
  <cp:keywords/>
  <dc:description/>
  <cp:lastModifiedBy>Kazimierz Mular</cp:lastModifiedBy>
  <cp:revision>2</cp:revision>
  <dcterms:created xsi:type="dcterms:W3CDTF">2012-09-13T10:35:00Z</dcterms:created>
  <dcterms:modified xsi:type="dcterms:W3CDTF">2012-09-13T10:40:00Z</dcterms:modified>
</cp:coreProperties>
</file>