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D17DF0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Pr="004D69DE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305635">
        <w:rPr>
          <w:rFonts w:ascii="Calibri" w:hAnsi="Calibri" w:cs="Verdana"/>
          <w:b/>
          <w:sz w:val="20"/>
          <w:szCs w:val="20"/>
        </w:rPr>
        <w:t>„</w:t>
      </w:r>
      <w:r w:rsidR="004D69DE" w:rsidRPr="00305635">
        <w:rPr>
          <w:rFonts w:ascii="Calibri" w:hAnsi="Calibri"/>
          <w:b/>
          <w:sz w:val="20"/>
          <w:szCs w:val="20"/>
        </w:rPr>
        <w:t>Przebudowa drogi wewnętrznej przy al. Wojska Polskiego w Nidzicy wraz z odwod</w:t>
      </w:r>
      <w:r w:rsidR="0097759A" w:rsidRPr="00305635">
        <w:rPr>
          <w:rFonts w:ascii="Calibri" w:hAnsi="Calibri"/>
          <w:b/>
          <w:sz w:val="20"/>
          <w:szCs w:val="20"/>
        </w:rPr>
        <w:t>nieniem i oświetleniem ulicznym</w:t>
      </w:r>
      <w:r w:rsidR="00A25D6E" w:rsidRPr="00305635">
        <w:rPr>
          <w:rFonts w:ascii="Calibri" w:hAnsi="Calibri" w:cs="Verdana"/>
          <w:b/>
          <w:sz w:val="20"/>
          <w:szCs w:val="20"/>
        </w:rPr>
        <w:t>”</w:t>
      </w:r>
      <w:r w:rsidR="00A25D6E" w:rsidRPr="004D69DE">
        <w:rPr>
          <w:rFonts w:ascii="Calibri" w:hAnsi="Calibri" w:cs="Verdana"/>
          <w:sz w:val="20"/>
          <w:szCs w:val="20"/>
        </w:rPr>
        <w:t xml:space="preserve">.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CB51EE" w:rsidRPr="00CB51EE" w:rsidRDefault="0097759A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1EE">
        <w:rPr>
          <w:sz w:val="20"/>
          <w:szCs w:val="20"/>
        </w:rPr>
        <w:t>,</w:t>
      </w:r>
    </w:p>
    <w:p w:rsidR="002C71DC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4D69DE" w:rsidRPr="004D69DE">
        <w:rPr>
          <w:rFonts w:ascii="Calibri" w:hAnsi="Calibri"/>
          <w:sz w:val="20"/>
          <w:szCs w:val="20"/>
        </w:rPr>
        <w:t>Przebudowa drogi wewnętrznej przy al. Wojska Polskiego w Nidzicy wraz z odwodnieniem i oświetleniem ulicznym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CB51E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Jacek Kosmala </w:t>
      </w:r>
      <w:r w:rsidR="009371F6">
        <w:rPr>
          <w:rFonts w:ascii="Calibri" w:hAnsi="Calibri"/>
          <w:sz w:val="20"/>
          <w:szCs w:val="20"/>
        </w:rPr>
        <w:t xml:space="preserve">-  </w:t>
      </w:r>
      <w:r>
        <w:rPr>
          <w:rFonts w:ascii="Calibri" w:hAnsi="Calibri"/>
          <w:sz w:val="20"/>
          <w:szCs w:val="20"/>
        </w:rPr>
        <w:t>Burmistrz Nidzicy.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</w:t>
      </w:r>
      <w:r w:rsidR="00FC144E">
        <w:rPr>
          <w:rFonts w:ascii="Calibri" w:hAnsi="Calibri" w:cs="Verdana"/>
          <w:sz w:val="20"/>
          <w:szCs w:val="20"/>
        </w:rPr>
        <w:t>oświetlenia ulicznego na</w:t>
      </w:r>
      <w:r w:rsidR="009371F6">
        <w:rPr>
          <w:rFonts w:ascii="Calibri" w:hAnsi="Calibri" w:cs="Verdana"/>
          <w:sz w:val="20"/>
          <w:szCs w:val="20"/>
        </w:rPr>
        <w:t xml:space="preserve"> zadani</w:t>
      </w:r>
      <w:r w:rsidR="00FC144E">
        <w:rPr>
          <w:rFonts w:ascii="Calibri" w:hAnsi="Calibri" w:cs="Verdana"/>
          <w:sz w:val="20"/>
          <w:szCs w:val="20"/>
        </w:rPr>
        <w:t>u</w:t>
      </w:r>
      <w:r w:rsidR="009371F6">
        <w:rPr>
          <w:rFonts w:ascii="Calibri" w:hAnsi="Calibri" w:cs="Verdana"/>
          <w:sz w:val="20"/>
          <w:szCs w:val="20"/>
        </w:rPr>
        <w:t xml:space="preserve">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4D69DE" w:rsidRPr="004D69DE">
        <w:rPr>
          <w:rFonts w:ascii="Calibri" w:hAnsi="Calibri"/>
          <w:sz w:val="20"/>
          <w:szCs w:val="20"/>
        </w:rPr>
        <w:t>Przebudowa drogi wewnętrznej przy al. Wojska Polskiego w Nidzicy wraz z odwodnieniem i oświetleniem ulicznym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A7297C">
        <w:rPr>
          <w:rFonts w:ascii="Calibri" w:hAnsi="Calibri" w:cs="Verdana"/>
          <w:sz w:val="20"/>
          <w:szCs w:val="20"/>
        </w:rPr>
        <w:t>……………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A7297C">
        <w:rPr>
          <w:rFonts w:ascii="Calibri" w:hAnsi="Calibri" w:cs="Verdana"/>
          <w:sz w:val="20"/>
          <w:szCs w:val="20"/>
        </w:rPr>
        <w:t>……………………</w:t>
      </w:r>
      <w:r w:rsidR="00CB51EE">
        <w:rPr>
          <w:rFonts w:ascii="Calibri" w:hAnsi="Calibri" w:cs="Verdana"/>
          <w:sz w:val="20"/>
          <w:szCs w:val="20"/>
        </w:rPr>
        <w:t xml:space="preserve"> 2019 r.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Pr="00CB51EE" w:rsidRDefault="00A7297C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r w:rsidR="00CB51EE">
        <w:rPr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0255BE" w:rsidRPr="004D69DE" w:rsidRDefault="009371F6" w:rsidP="00A16F7B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20364F"/>
    <w:rsid w:val="00243794"/>
    <w:rsid w:val="0024721F"/>
    <w:rsid w:val="002C71DC"/>
    <w:rsid w:val="002C76B5"/>
    <w:rsid w:val="002D66CA"/>
    <w:rsid w:val="002E32C0"/>
    <w:rsid w:val="002F7A99"/>
    <w:rsid w:val="00305635"/>
    <w:rsid w:val="00426371"/>
    <w:rsid w:val="00444060"/>
    <w:rsid w:val="004D69DE"/>
    <w:rsid w:val="00562CAB"/>
    <w:rsid w:val="005E5F30"/>
    <w:rsid w:val="005F45A8"/>
    <w:rsid w:val="0062610D"/>
    <w:rsid w:val="0063145E"/>
    <w:rsid w:val="006325AD"/>
    <w:rsid w:val="007E2BB7"/>
    <w:rsid w:val="007F3BD2"/>
    <w:rsid w:val="008611BE"/>
    <w:rsid w:val="00864B30"/>
    <w:rsid w:val="009135F1"/>
    <w:rsid w:val="009371F6"/>
    <w:rsid w:val="0097759A"/>
    <w:rsid w:val="009F79AE"/>
    <w:rsid w:val="00A16F7B"/>
    <w:rsid w:val="00A25D6E"/>
    <w:rsid w:val="00A435B5"/>
    <w:rsid w:val="00A7297C"/>
    <w:rsid w:val="00AD5AB2"/>
    <w:rsid w:val="00AF57CC"/>
    <w:rsid w:val="00B13A0E"/>
    <w:rsid w:val="00C037EE"/>
    <w:rsid w:val="00C32E66"/>
    <w:rsid w:val="00CB51EE"/>
    <w:rsid w:val="00CD7738"/>
    <w:rsid w:val="00D17DF0"/>
    <w:rsid w:val="00D32E6C"/>
    <w:rsid w:val="00D35F2D"/>
    <w:rsid w:val="00E77E30"/>
    <w:rsid w:val="00E922A8"/>
    <w:rsid w:val="00E95C42"/>
    <w:rsid w:val="00F11A7D"/>
    <w:rsid w:val="00F74D41"/>
    <w:rsid w:val="00FC144E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28</cp:revision>
  <cp:lastPrinted>2019-07-01T06:15:00Z</cp:lastPrinted>
  <dcterms:created xsi:type="dcterms:W3CDTF">2017-05-31T10:20:00Z</dcterms:created>
  <dcterms:modified xsi:type="dcterms:W3CDTF">2019-07-23T12:13:00Z</dcterms:modified>
</cp:coreProperties>
</file>