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1483" w14:textId="12FC4A60" w:rsidR="00292C8E" w:rsidRPr="00292C8E" w:rsidRDefault="00292C8E" w:rsidP="008C50AD">
      <w:pPr>
        <w:pStyle w:val="Tekstpodstawowy"/>
        <w:jc w:val="right"/>
        <w:rPr>
          <w:rFonts w:asciiTheme="minorHAnsi" w:hAnsiTheme="minorHAnsi" w:cstheme="minorHAnsi"/>
          <w:b w:val="0"/>
          <w:sz w:val="20"/>
        </w:rPr>
      </w:pPr>
      <w:r w:rsidRPr="00292C8E">
        <w:rPr>
          <w:rFonts w:asciiTheme="minorHAnsi" w:hAnsiTheme="minorHAnsi" w:cstheme="minorHAnsi"/>
          <w:sz w:val="20"/>
        </w:rPr>
        <w:t xml:space="preserve">    </w:t>
      </w:r>
      <w:r w:rsidRPr="00292C8E">
        <w:rPr>
          <w:rFonts w:asciiTheme="minorHAnsi" w:hAnsiTheme="minorHAnsi" w:cstheme="minorHAnsi"/>
          <w:b w:val="0"/>
          <w:sz w:val="20"/>
        </w:rPr>
        <w:t xml:space="preserve">Załącznik Nr </w:t>
      </w:r>
      <w:r w:rsidRPr="00292C8E">
        <w:rPr>
          <w:rFonts w:asciiTheme="minorHAnsi" w:hAnsiTheme="minorHAnsi" w:cstheme="minorHAnsi"/>
          <w:sz w:val="20"/>
        </w:rPr>
        <w:t xml:space="preserve">9 </w:t>
      </w:r>
      <w:r w:rsidRPr="00292C8E">
        <w:rPr>
          <w:rFonts w:asciiTheme="minorHAnsi" w:hAnsiTheme="minorHAnsi" w:cstheme="minorHAnsi"/>
          <w:b w:val="0"/>
          <w:sz w:val="20"/>
        </w:rPr>
        <w:t xml:space="preserve">do SWZ </w:t>
      </w:r>
    </w:p>
    <w:p w14:paraId="57CCAC2C" w14:textId="0EBEC3B5" w:rsidR="00292C8E" w:rsidRPr="00292C8E" w:rsidRDefault="00292C8E" w:rsidP="00292C8E">
      <w:pPr>
        <w:jc w:val="center"/>
        <w:rPr>
          <w:rFonts w:asciiTheme="minorHAnsi" w:hAnsiTheme="minorHAnsi" w:cstheme="minorHAnsi"/>
          <w:b/>
          <w:sz w:val="20"/>
          <w:szCs w:val="20"/>
        </w:rPr>
      </w:pPr>
      <w:r w:rsidRPr="00292C8E">
        <w:rPr>
          <w:rFonts w:asciiTheme="minorHAnsi" w:hAnsiTheme="minorHAnsi" w:cstheme="minorHAnsi"/>
          <w:b/>
          <w:sz w:val="20"/>
          <w:szCs w:val="20"/>
        </w:rPr>
        <w:t>Szczegółowy opis przedmiotu zamówienia</w:t>
      </w:r>
      <w:r w:rsidR="003F1E30">
        <w:rPr>
          <w:rFonts w:asciiTheme="minorHAnsi" w:hAnsiTheme="minorHAnsi" w:cstheme="minorHAnsi"/>
          <w:b/>
          <w:sz w:val="20"/>
          <w:szCs w:val="20"/>
        </w:rPr>
        <w:t xml:space="preserve"> (SOPZ)</w:t>
      </w:r>
    </w:p>
    <w:p w14:paraId="61F5F1DE" w14:textId="77777777" w:rsidR="00292C8E" w:rsidRPr="00292C8E" w:rsidRDefault="00292C8E" w:rsidP="00292C8E">
      <w:pPr>
        <w:jc w:val="center"/>
        <w:rPr>
          <w:rFonts w:asciiTheme="minorHAnsi" w:hAnsiTheme="minorHAnsi" w:cstheme="minorHAnsi"/>
          <w:sz w:val="20"/>
          <w:szCs w:val="20"/>
        </w:rPr>
      </w:pPr>
      <w:r w:rsidRPr="00292C8E">
        <w:rPr>
          <w:rFonts w:asciiTheme="minorHAnsi" w:hAnsiTheme="minorHAnsi" w:cstheme="minorHAnsi"/>
          <w:sz w:val="20"/>
          <w:szCs w:val="20"/>
        </w:rPr>
        <w:t xml:space="preserve"> na zadanie: </w:t>
      </w:r>
    </w:p>
    <w:p w14:paraId="225A2C2C" w14:textId="78D0566D" w:rsidR="00532720" w:rsidRPr="008C50AD" w:rsidRDefault="00292C8E" w:rsidP="008C50AD">
      <w:pPr>
        <w:pStyle w:val="Nagwek"/>
        <w:jc w:val="center"/>
        <w:rPr>
          <w:rFonts w:asciiTheme="minorHAnsi" w:hAnsiTheme="minorHAnsi" w:cstheme="minorHAnsi"/>
          <w:b/>
          <w:sz w:val="20"/>
          <w:szCs w:val="20"/>
        </w:rPr>
      </w:pPr>
      <w:r w:rsidRPr="00292C8E">
        <w:rPr>
          <w:rFonts w:asciiTheme="minorHAnsi" w:hAnsiTheme="minorHAnsi" w:cstheme="minorHAnsi"/>
          <w:b/>
          <w:sz w:val="20"/>
          <w:szCs w:val="20"/>
        </w:rPr>
        <w:t>„Modernizacja obiektów infrastruktury sportowej w Nidzicy”</w:t>
      </w:r>
    </w:p>
    <w:p w14:paraId="2C21F88F" w14:textId="2E495D51" w:rsidR="00292C8E" w:rsidRDefault="00292C8E"/>
    <w:p w14:paraId="34B7299E" w14:textId="3DD1BE01" w:rsidR="00292C8E" w:rsidRDefault="00292C8E" w:rsidP="00292C8E">
      <w:pPr>
        <w:rPr>
          <w:rFonts w:ascii="Calibri" w:hAnsi="Calibri" w:cs="Calibri"/>
          <w:sz w:val="20"/>
          <w:szCs w:val="20"/>
        </w:rPr>
      </w:pPr>
      <w:r w:rsidRPr="00B024E7">
        <w:rPr>
          <w:rFonts w:ascii="Calibri" w:hAnsi="Calibri" w:cs="Calibri"/>
          <w:sz w:val="20"/>
          <w:szCs w:val="20"/>
        </w:rPr>
        <w:t>W ramach planowanego przedsięwzięcia przewiduje się:</w:t>
      </w:r>
    </w:p>
    <w:p w14:paraId="71C46BC9" w14:textId="77777777" w:rsidR="00292C8E" w:rsidRPr="00874C4F" w:rsidRDefault="00292C8E" w:rsidP="00292C8E">
      <w:pPr>
        <w:pStyle w:val="Akapitzlist"/>
        <w:numPr>
          <w:ilvl w:val="1"/>
          <w:numId w:val="1"/>
        </w:numPr>
        <w:spacing w:after="0" w:line="240" w:lineRule="auto"/>
        <w:ind w:left="284" w:hanging="284"/>
        <w:jc w:val="both"/>
        <w:rPr>
          <w:rFonts w:eastAsia="Times New Roman" w:cstheme="minorHAnsi"/>
          <w:b/>
          <w:kern w:val="1"/>
          <w:sz w:val="20"/>
          <w:szCs w:val="20"/>
          <w:lang w:eastAsia="ar-SA"/>
        </w:rPr>
      </w:pPr>
      <w:r w:rsidRPr="00874C4F">
        <w:rPr>
          <w:rFonts w:eastAsia="Times New Roman" w:cstheme="minorHAnsi"/>
          <w:b/>
          <w:kern w:val="1"/>
          <w:sz w:val="20"/>
          <w:szCs w:val="20"/>
          <w:lang w:eastAsia="ar-SA"/>
        </w:rPr>
        <w:t>Rozbudowę Szkoły Podstawowej nr 2 w Nidzicy o salę gimnastyczną wraz z termomodernizacją budynku szkoły:</w:t>
      </w:r>
    </w:p>
    <w:p w14:paraId="1767F29C" w14:textId="77777777" w:rsidR="00292C8E" w:rsidRPr="00B024E7" w:rsidRDefault="00292C8E" w:rsidP="00292C8E">
      <w:pPr>
        <w:pStyle w:val="Akapitzlist"/>
        <w:spacing w:after="0" w:line="240" w:lineRule="auto"/>
        <w:ind w:hanging="720"/>
        <w:jc w:val="both"/>
        <w:rPr>
          <w:rFonts w:ascii="Calibri" w:hAnsi="Calibri" w:cs="Calibri"/>
          <w:b/>
          <w:sz w:val="20"/>
          <w:szCs w:val="20"/>
        </w:rPr>
      </w:pPr>
      <w:r>
        <w:rPr>
          <w:rFonts w:ascii="Calibri" w:hAnsi="Calibri" w:cs="Calibri"/>
          <w:b/>
          <w:sz w:val="20"/>
          <w:szCs w:val="20"/>
        </w:rPr>
        <w:t>1.1.1 Budowę sali gimnastycznej przy Szkole P</w:t>
      </w:r>
      <w:r w:rsidRPr="00B024E7">
        <w:rPr>
          <w:rFonts w:ascii="Calibri" w:hAnsi="Calibri" w:cs="Calibri"/>
          <w:b/>
          <w:sz w:val="20"/>
          <w:szCs w:val="20"/>
        </w:rPr>
        <w:t>odstawowej nr 2 w Nidzicy</w:t>
      </w:r>
    </w:p>
    <w:p w14:paraId="09D3166E" w14:textId="533FA4CE"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Obiekt sali gimnastycznej zlokalizowany jest na dz. nr 125 w obr. nr 2 miasta Nidzica, gm. Nidzica, przy ul. Barke 3. Na przedmiotowej działce znajduje się istniejący budynek Szkoły Podstawowej nr 2</w:t>
      </w:r>
      <w:r>
        <w:rPr>
          <w:rFonts w:ascii="Calibri" w:eastAsiaTheme="minorEastAsia" w:hAnsi="Calibri" w:cs="Calibri"/>
          <w:sz w:val="20"/>
          <w:szCs w:val="20"/>
        </w:rPr>
        <w:t>, na którym</w:t>
      </w:r>
      <w:r w:rsidRPr="00504CE5">
        <w:rPr>
          <w:rFonts w:ascii="Calibri" w:eastAsiaTheme="minorEastAsia" w:hAnsi="Calibri" w:cs="Calibri"/>
          <w:sz w:val="20"/>
          <w:szCs w:val="20"/>
        </w:rPr>
        <w:t xml:space="preserve"> </w:t>
      </w:r>
      <w:r>
        <w:rPr>
          <w:rFonts w:ascii="Calibri" w:eastAsiaTheme="minorEastAsia" w:hAnsi="Calibri" w:cs="Calibri"/>
          <w:sz w:val="20"/>
          <w:szCs w:val="20"/>
        </w:rPr>
        <w:t>zaproj</w:t>
      </w:r>
      <w:r w:rsidR="002A54B9">
        <w:rPr>
          <w:rFonts w:ascii="Calibri" w:eastAsiaTheme="minorEastAsia" w:hAnsi="Calibri" w:cs="Calibri"/>
          <w:sz w:val="20"/>
          <w:szCs w:val="20"/>
        </w:rPr>
        <w:t>e</w:t>
      </w:r>
      <w:r>
        <w:rPr>
          <w:rFonts w:ascii="Calibri" w:eastAsiaTheme="minorEastAsia" w:hAnsi="Calibri" w:cs="Calibri"/>
          <w:sz w:val="20"/>
          <w:szCs w:val="20"/>
        </w:rPr>
        <w:t>ktowano</w:t>
      </w:r>
      <w:r w:rsidRPr="00504CE5">
        <w:rPr>
          <w:rFonts w:ascii="Calibri" w:eastAsiaTheme="minorEastAsia" w:hAnsi="Calibri" w:cs="Calibri"/>
          <w:sz w:val="20"/>
          <w:szCs w:val="20"/>
        </w:rPr>
        <w:t xml:space="preserve"> przebudowę wraz z rozbudową. </w:t>
      </w:r>
      <w:r>
        <w:rPr>
          <w:rFonts w:ascii="Calibri" w:eastAsiaTheme="minorEastAsia" w:hAnsi="Calibri" w:cs="Calibri"/>
          <w:sz w:val="20"/>
          <w:szCs w:val="20"/>
        </w:rPr>
        <w:t>Zap</w:t>
      </w:r>
      <w:r w:rsidRPr="00504CE5">
        <w:rPr>
          <w:rFonts w:ascii="Calibri" w:eastAsiaTheme="minorEastAsia" w:hAnsi="Calibri" w:cs="Calibri"/>
          <w:sz w:val="20"/>
          <w:szCs w:val="20"/>
        </w:rPr>
        <w:t>rojektowana rozbudowa poleg</w:t>
      </w:r>
      <w:r>
        <w:rPr>
          <w:rFonts w:ascii="Calibri" w:eastAsiaTheme="minorEastAsia" w:hAnsi="Calibri" w:cs="Calibri"/>
          <w:sz w:val="20"/>
          <w:szCs w:val="20"/>
        </w:rPr>
        <w:t>a</w:t>
      </w:r>
      <w:r w:rsidRPr="00504CE5">
        <w:rPr>
          <w:rFonts w:ascii="Calibri" w:eastAsiaTheme="minorEastAsia" w:hAnsi="Calibri" w:cs="Calibri"/>
          <w:sz w:val="20"/>
          <w:szCs w:val="20"/>
        </w:rPr>
        <w:t xml:space="preserve"> na budowie nowej większej sali gimnastycznej w miejscu istniejącej po jej uprzednim rozebraniu. Przy sali zlokalizowano pomieszczenia higieniczno­ sanitarne w postaci szatni i łazienek oraz pomieszczenia pomocnicze i techniczne. Obiekt zaprojektowano jako parterowy, niepodpiwniczony, dwubryłowy, w części wyższej o wysokości do attyki 9,60 m zlokalizowano salę gimnastyczną, a w części niższej o wysokości do attyki 5,18 m zlokalizowano pozostałe pomieszczenia higieniczno­sanitarne i pomocnicze. Wymiary zewnętrzne projektowanej rozbudowy wynoszą 31,92m x 23,50 m. </w:t>
      </w:r>
    </w:p>
    <w:p w14:paraId="02101F94"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CHARAKTERYSTYCZNE PARAMETRY TECHNICZNE BUDYNKU</w:t>
      </w:r>
    </w:p>
    <w:p w14:paraId="3F982B49"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Sala gimnastyczna wraz zapleczem sanitarnym</w:t>
      </w:r>
    </w:p>
    <w:p w14:paraId="4BC1640A"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Kubatura: 4 773,32 m3</w:t>
      </w:r>
    </w:p>
    <w:p w14:paraId="5527C047"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Powierzchnia użytkowa: 636,35 m2</w:t>
      </w:r>
    </w:p>
    <w:p w14:paraId="71084C2A"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Powierzchnia całkowita: 725,26 m2</w:t>
      </w:r>
    </w:p>
    <w:p w14:paraId="665EE86F"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Powierzchnia zabudowy: 725,26 m2</w:t>
      </w:r>
    </w:p>
    <w:p w14:paraId="6207C9DB" w14:textId="77777777" w:rsidR="00292C8E" w:rsidRPr="00504CE5"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OPIS ELEMENTÓW KONSTRUKCYJNYCH BUDYNKU.</w:t>
      </w:r>
    </w:p>
    <w:p w14:paraId="5FD7C719" w14:textId="77777777" w:rsidR="00292C8E" w:rsidRDefault="00292C8E" w:rsidP="00292C8E">
      <w:pPr>
        <w:jc w:val="both"/>
        <w:rPr>
          <w:rFonts w:ascii="Calibri" w:eastAsiaTheme="minorEastAsia" w:hAnsi="Calibri" w:cs="Calibri"/>
          <w:sz w:val="20"/>
          <w:szCs w:val="20"/>
        </w:rPr>
      </w:pPr>
      <w:r w:rsidRPr="00504CE5">
        <w:rPr>
          <w:rFonts w:ascii="Calibri" w:eastAsiaTheme="minorEastAsia" w:hAnsi="Calibri" w:cs="Calibri"/>
          <w:sz w:val="20"/>
          <w:szCs w:val="20"/>
        </w:rPr>
        <w:t>Ławy i stopy fundamentowe żelbetowe monolityczne. Ściany fundamentowe dwuwarstwowe murowane z bloczków betonowych. Ściany zewnętrzne dwuwarstwowe murowane z pustaków silikatowych, usztywnione konstrukcją żelbetową monolityczną. Od strony zewnętrznej ściany ocieplone styropianem gr. 20 cm i wykończone tynkiem cienkowarstwowym silikonowo silikatowym lub silikatowym. Ściany wewnętrzne zaprojektowano z bloczków z pustaków silikatowych. Konstrukcja stropodachu płaskiego nad częścią niższą z kanałowych płyt betonowych, nad salą gimnastyczną z dźwigarów drewna klejonego pokrytych blachą trapezową. Główną konstrukcję nośną budynku stanowić będzie szkielet monolityczny składający się ze słupów, stóp fundamentowych, podciągów, nadproży, wieńców. Schody zewnętrzne zaprojektowano jako płytowe żelbetowe monolityczne, wykończone gresem antypoślizgowym. Rynny, rury spustowe i obróbki blacharskie z blachy ocynkowanej powlekanej obustronnie poliuretanem w kolorze szarym. Stolarka zewnętrzna okienna i drzwiowa z aluminium trzyszybowa w kolorze szarym. Drzwi wewnętrzne do pomieszczeń higieniczno­ sanitarnych i socjalnych płytowe laminowane z wypełnieniem MDF w kolorze białym lub jasnoszarym. Drzwi oddzielające strefy pożarowe – między częścią istniejącą i projektowaną budynku jako przeciwpożarowe EIS30 ognioodporne, dymoszczelne. Parapety wewnętrzne z konglomeratu o gr. 2 cm, w pomieszczeniach sanitarnych (łazienki, szatnie) alternatywnie dopuszcza się wykonanie parapetów z glazury, zewnętrzne z blachy ocynkowanej gr. 0,55mm powlekanej obustronnie poliuretanem w kolorze szarym. W sali gimnastycznej zaprojektowano systemową podłogę sportową. W korytarzu głównym między salą gimnastyczną zaprojektowano podłogę z wykładziny PCV. Podłogi w pozostałych pomieszczeniach higieniczno­ sanitarnych, socjalnych i technicznych zaprojektowano z płytek gresowych antypoślizgowych na zaprawie klejowej. Tynki wewnętrzne cementowo – wapienne gr. 1,5 cm, wykończone podwójną warstwą gładzi gipsowej. Ściany podwójnie malowane farbami. Sufit sali gimnastycznej będzie stanowiła spodnia warstwa powłoki z blach trapezowych  ułożona na odkrytej konstrukcji drewnianej dachu. Opaski wokół budynku z kostki betonowej gr. 6 cm w kolorze grafitowym o szerokości 1,0 m.</w:t>
      </w:r>
    </w:p>
    <w:p w14:paraId="73FE038A" w14:textId="77777777" w:rsidR="00292C8E" w:rsidRPr="00504CE5" w:rsidRDefault="00292C8E" w:rsidP="00292C8E">
      <w:pPr>
        <w:jc w:val="both"/>
        <w:rPr>
          <w:rFonts w:ascii="Calibri" w:eastAsiaTheme="minorEastAsia" w:hAnsi="Calibri" w:cs="Calibri"/>
          <w:sz w:val="20"/>
          <w:szCs w:val="20"/>
        </w:rPr>
      </w:pPr>
    </w:p>
    <w:p w14:paraId="72DAAFD4" w14:textId="77777777" w:rsidR="00292C8E" w:rsidRPr="00B024E7" w:rsidRDefault="00292C8E" w:rsidP="00292C8E">
      <w:pPr>
        <w:rPr>
          <w:rFonts w:ascii="Calibri" w:hAnsi="Calibri" w:cs="Calibri"/>
          <w:b/>
          <w:sz w:val="20"/>
          <w:szCs w:val="20"/>
        </w:rPr>
      </w:pPr>
      <w:r w:rsidRPr="00874C4F">
        <w:rPr>
          <w:rFonts w:ascii="Calibri" w:hAnsi="Calibri" w:cs="Calibri"/>
          <w:b/>
          <w:sz w:val="20"/>
          <w:szCs w:val="20"/>
        </w:rPr>
        <w:t>1.1.2</w:t>
      </w:r>
      <w:r>
        <w:rPr>
          <w:rFonts w:ascii="Calibri" w:hAnsi="Calibri" w:cs="Calibri"/>
          <w:sz w:val="20"/>
          <w:szCs w:val="20"/>
        </w:rPr>
        <w:t xml:space="preserve"> </w:t>
      </w:r>
      <w:r w:rsidRPr="00B024E7">
        <w:rPr>
          <w:rFonts w:ascii="Calibri" w:hAnsi="Calibri" w:cs="Calibri"/>
          <w:b/>
          <w:sz w:val="20"/>
          <w:szCs w:val="20"/>
        </w:rPr>
        <w:t>Termomodernizację budynku Szkoły Podstawowej nr 2 w Nidzicy</w:t>
      </w:r>
    </w:p>
    <w:p w14:paraId="4A984B08" w14:textId="77777777"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 ramach zadania planuje się wykonać następujące roboty budowlane:</w:t>
      </w:r>
    </w:p>
    <w:p w14:paraId="4F8344DA" w14:textId="75E2046A"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-oczyszczenie ścian piwnicy</w:t>
      </w:r>
      <w:r w:rsidR="00CC12CD">
        <w:rPr>
          <w:rFonts w:ascii="Calibri" w:hAnsi="Calibri" w:cs="Calibri"/>
          <w:sz w:val="20"/>
          <w:szCs w:val="20"/>
        </w:rPr>
        <w:t>,</w:t>
      </w:r>
    </w:p>
    <w:p w14:paraId="79F53BF4" w14:textId="7AD046BF"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-wykonanie izolacji przeciwwodnych w piwnicy</w:t>
      </w:r>
      <w:r w:rsidR="00CC12CD">
        <w:rPr>
          <w:rFonts w:ascii="Calibri" w:hAnsi="Calibri" w:cs="Calibri"/>
          <w:sz w:val="20"/>
          <w:szCs w:val="20"/>
        </w:rPr>
        <w:t>,</w:t>
      </w:r>
    </w:p>
    <w:p w14:paraId="5009FAE6" w14:textId="2337117D"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-wykonanie posadzek w piwnicy</w:t>
      </w:r>
      <w:r w:rsidR="00CC12CD">
        <w:rPr>
          <w:rFonts w:ascii="Calibri" w:hAnsi="Calibri" w:cs="Calibri"/>
          <w:sz w:val="20"/>
          <w:szCs w:val="20"/>
        </w:rPr>
        <w:t>,</w:t>
      </w:r>
    </w:p>
    <w:p w14:paraId="29EB1BC1" w14:textId="12A6A4E1"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-wykonanie remontu klatek schodowych</w:t>
      </w:r>
      <w:r w:rsidR="00CC12CD">
        <w:rPr>
          <w:rFonts w:ascii="Calibri" w:hAnsi="Calibri" w:cs="Calibri"/>
          <w:sz w:val="20"/>
          <w:szCs w:val="20"/>
        </w:rPr>
        <w:t>,</w:t>
      </w:r>
    </w:p>
    <w:p w14:paraId="3B94788E" w14:textId="1E10159F"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-wykonanie wymiany okien w częściach wspólnych</w:t>
      </w:r>
      <w:r w:rsidR="00CC12CD">
        <w:rPr>
          <w:rFonts w:ascii="Calibri" w:hAnsi="Calibri" w:cs="Calibri"/>
          <w:sz w:val="20"/>
          <w:szCs w:val="20"/>
        </w:rPr>
        <w:t>,</w:t>
      </w:r>
    </w:p>
    <w:p w14:paraId="49E1B754" w14:textId="77777777"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lastRenderedPageBreak/>
        <w:t>- montaż rusztowań ramowych,</w:t>
      </w:r>
    </w:p>
    <w:p w14:paraId="7342DFE3" w14:textId="77777777"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-demontaż istniejących obróbek blacharskich, rur spustowych, parapetów, zwodów piorunochronnych,</w:t>
      </w:r>
    </w:p>
    <w:p w14:paraId="67940784" w14:textId="6A1A2BFB" w:rsidR="00292C8E" w:rsidRPr="00B024E7" w:rsidRDefault="00292C8E" w:rsidP="00292C8E">
      <w:pPr>
        <w:pStyle w:val="Akapitzlist"/>
        <w:ind w:left="0"/>
        <w:jc w:val="both"/>
        <w:rPr>
          <w:rFonts w:ascii="Calibri" w:hAnsi="Calibri" w:cs="Calibri"/>
          <w:sz w:val="20"/>
          <w:szCs w:val="20"/>
        </w:rPr>
      </w:pPr>
      <w:r w:rsidRPr="00B024E7">
        <w:rPr>
          <w:rFonts w:ascii="Calibri" w:hAnsi="Calibri" w:cs="Calibri"/>
          <w:sz w:val="20"/>
          <w:szCs w:val="20"/>
        </w:rPr>
        <w:t>-przygotowanie powierzchni ścian do wykonania termoizolacji, wzmocnienia oraz uzupełnienie ubytków w murze oraz spoin</w:t>
      </w:r>
      <w:r w:rsidR="00CC12CD">
        <w:rPr>
          <w:rFonts w:ascii="Calibri" w:hAnsi="Calibri" w:cs="Calibri"/>
          <w:sz w:val="20"/>
          <w:szCs w:val="20"/>
        </w:rPr>
        <w:t>,</w:t>
      </w:r>
    </w:p>
    <w:p w14:paraId="34F13D21" w14:textId="77777777" w:rsidR="00292C8E" w:rsidRPr="00B024E7" w:rsidRDefault="00292C8E" w:rsidP="00292C8E">
      <w:pPr>
        <w:pStyle w:val="Akapitzlist"/>
        <w:ind w:left="0"/>
        <w:jc w:val="both"/>
        <w:rPr>
          <w:rFonts w:ascii="Calibri" w:hAnsi="Calibri" w:cs="Calibri"/>
          <w:sz w:val="20"/>
          <w:szCs w:val="20"/>
        </w:rPr>
      </w:pPr>
      <w:r w:rsidRPr="00B024E7">
        <w:rPr>
          <w:rFonts w:ascii="Calibri" w:hAnsi="Calibri" w:cs="Calibri"/>
          <w:sz w:val="20"/>
          <w:szCs w:val="20"/>
        </w:rPr>
        <w:t>-właściwe wykonanie termoizolacji wg przyjętego systemu ocieplenia wraz z wyprawą zewnętrzną i powłokami malarskimi,</w:t>
      </w:r>
    </w:p>
    <w:p w14:paraId="25C2DD3A" w14:textId="3456DC4D" w:rsidR="00292C8E" w:rsidRPr="00B024E7" w:rsidRDefault="00292C8E" w:rsidP="00292C8E">
      <w:pPr>
        <w:pStyle w:val="Akapitzlist"/>
        <w:ind w:left="0"/>
        <w:jc w:val="both"/>
        <w:rPr>
          <w:rFonts w:ascii="Calibri" w:hAnsi="Calibri" w:cs="Calibri"/>
          <w:sz w:val="20"/>
          <w:szCs w:val="20"/>
        </w:rPr>
      </w:pPr>
      <w:r w:rsidRPr="00B024E7">
        <w:rPr>
          <w:rFonts w:ascii="Calibri" w:hAnsi="Calibri" w:cs="Calibri"/>
          <w:sz w:val="20"/>
          <w:szCs w:val="20"/>
        </w:rPr>
        <w:t>-roboty wykończeniowe – montaż nowych obróbek blacharskich, parapetów, zwodów piorunochronnych, kratek wentylacyjnych, pokrycia dachu</w:t>
      </w:r>
      <w:r w:rsidR="00CC12CD">
        <w:rPr>
          <w:rFonts w:ascii="Calibri" w:hAnsi="Calibri" w:cs="Calibri"/>
          <w:sz w:val="20"/>
          <w:szCs w:val="20"/>
        </w:rPr>
        <w:t>,</w:t>
      </w:r>
    </w:p>
    <w:p w14:paraId="3FADC36D" w14:textId="034E56EF"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-demontaż rusztowań</w:t>
      </w:r>
      <w:r w:rsidR="00CC12CD">
        <w:rPr>
          <w:rFonts w:ascii="Calibri" w:hAnsi="Calibri" w:cs="Calibri"/>
          <w:sz w:val="20"/>
          <w:szCs w:val="20"/>
        </w:rPr>
        <w:t>,</w:t>
      </w:r>
    </w:p>
    <w:p w14:paraId="082EFFC6" w14:textId="6F69C3F2"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-rozebranie nawierzchni przy budynku</w:t>
      </w:r>
      <w:r w:rsidR="00CC12CD">
        <w:rPr>
          <w:rFonts w:ascii="Calibri" w:hAnsi="Calibri" w:cs="Calibri"/>
          <w:sz w:val="20"/>
          <w:szCs w:val="20"/>
        </w:rPr>
        <w:t>,</w:t>
      </w:r>
    </w:p>
    <w:p w14:paraId="0E16F3DF" w14:textId="478F12CD"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-wykonanie wykopów wokoło budynku</w:t>
      </w:r>
      <w:r w:rsidR="00CC12CD">
        <w:rPr>
          <w:rFonts w:ascii="Calibri" w:hAnsi="Calibri" w:cs="Calibri"/>
          <w:sz w:val="20"/>
          <w:szCs w:val="20"/>
        </w:rPr>
        <w:t>,</w:t>
      </w:r>
    </w:p>
    <w:p w14:paraId="21967A8B" w14:textId="56D12501" w:rsidR="00292C8E" w:rsidRPr="00B024E7" w:rsidRDefault="00292C8E" w:rsidP="00292C8E">
      <w:pPr>
        <w:pStyle w:val="Akapitzlist"/>
        <w:ind w:hanging="720"/>
        <w:jc w:val="both"/>
        <w:rPr>
          <w:rFonts w:ascii="Calibri" w:hAnsi="Calibri" w:cs="Calibri"/>
          <w:sz w:val="20"/>
          <w:szCs w:val="20"/>
        </w:rPr>
      </w:pPr>
      <w:r w:rsidRPr="00B024E7">
        <w:rPr>
          <w:rFonts w:ascii="Calibri" w:hAnsi="Calibri" w:cs="Calibri"/>
          <w:sz w:val="20"/>
          <w:szCs w:val="20"/>
        </w:rPr>
        <w:t>-wykonanie izolacji przeciwwodnych oraz termoizolacji w gruncie</w:t>
      </w:r>
      <w:r w:rsidR="00CC12CD">
        <w:rPr>
          <w:rFonts w:ascii="Calibri" w:hAnsi="Calibri" w:cs="Calibri"/>
          <w:sz w:val="20"/>
          <w:szCs w:val="20"/>
        </w:rPr>
        <w:t>,</w:t>
      </w:r>
    </w:p>
    <w:p w14:paraId="24E7F9BE" w14:textId="77777777" w:rsidR="00292C8E" w:rsidRPr="00B024E7" w:rsidRDefault="00292C8E" w:rsidP="00292C8E">
      <w:pPr>
        <w:pStyle w:val="Akapitzlist"/>
        <w:spacing w:after="0" w:line="240" w:lineRule="auto"/>
        <w:ind w:hanging="720"/>
        <w:jc w:val="both"/>
        <w:rPr>
          <w:rFonts w:ascii="Calibri" w:hAnsi="Calibri" w:cs="Calibri"/>
          <w:sz w:val="20"/>
          <w:szCs w:val="20"/>
        </w:rPr>
      </w:pPr>
      <w:r w:rsidRPr="00B024E7">
        <w:rPr>
          <w:rFonts w:ascii="Calibri" w:hAnsi="Calibri" w:cs="Calibri"/>
          <w:sz w:val="20"/>
          <w:szCs w:val="20"/>
        </w:rPr>
        <w:t>-wykonanie nowych nawierzchni terenu.</w:t>
      </w:r>
    </w:p>
    <w:p w14:paraId="7264C04B" w14:textId="77777777" w:rsidR="00292C8E" w:rsidRPr="00B024E7" w:rsidRDefault="00292C8E" w:rsidP="00292C8E">
      <w:pPr>
        <w:rPr>
          <w:rFonts w:ascii="Calibri" w:hAnsi="Calibri" w:cs="Calibri"/>
          <w:sz w:val="20"/>
          <w:szCs w:val="20"/>
        </w:rPr>
      </w:pPr>
    </w:p>
    <w:p w14:paraId="1E31E805" w14:textId="77777777" w:rsidR="00292C8E" w:rsidRPr="00B024E7" w:rsidRDefault="00292C8E" w:rsidP="00292C8E">
      <w:pPr>
        <w:rPr>
          <w:rFonts w:ascii="Calibri" w:hAnsi="Calibri" w:cs="Calibri"/>
          <w:sz w:val="20"/>
          <w:szCs w:val="20"/>
        </w:rPr>
      </w:pPr>
      <w:r w:rsidRPr="00B024E7">
        <w:rPr>
          <w:rFonts w:ascii="Calibri" w:hAnsi="Calibri" w:cs="Calibri"/>
          <w:b/>
          <w:sz w:val="20"/>
          <w:szCs w:val="20"/>
        </w:rPr>
        <w:t>1.</w:t>
      </w:r>
      <w:r>
        <w:rPr>
          <w:rFonts w:ascii="Calibri" w:hAnsi="Calibri" w:cs="Calibri"/>
          <w:b/>
          <w:sz w:val="20"/>
          <w:szCs w:val="20"/>
        </w:rPr>
        <w:t>2</w:t>
      </w:r>
      <w:r w:rsidRPr="00B024E7">
        <w:rPr>
          <w:rFonts w:ascii="Calibri" w:hAnsi="Calibri" w:cs="Calibri"/>
          <w:b/>
          <w:sz w:val="20"/>
          <w:szCs w:val="20"/>
        </w:rPr>
        <w:t xml:space="preserve"> Budowę boiska bocznego przy stadionie miejskim w Nidzicy</w:t>
      </w:r>
    </w:p>
    <w:p w14:paraId="7B9EDB82" w14:textId="5EA4B38A" w:rsidR="00292C8E" w:rsidRPr="00B024E7" w:rsidRDefault="00292C8E" w:rsidP="00292C8E">
      <w:pPr>
        <w:jc w:val="both"/>
        <w:rPr>
          <w:rFonts w:ascii="Calibri" w:hAnsi="Calibri" w:cs="Calibri"/>
          <w:sz w:val="20"/>
          <w:szCs w:val="20"/>
        </w:rPr>
      </w:pPr>
      <w:r w:rsidRPr="00B024E7">
        <w:rPr>
          <w:rFonts w:ascii="Calibri" w:hAnsi="Calibri" w:cs="Calibri"/>
          <w:sz w:val="20"/>
          <w:szCs w:val="20"/>
        </w:rPr>
        <w:t>W ramach zagospodarowania terenu planuje się budowę boiska treningowe o wym. 64x100 m o nawierzchni z trawy syntetycznej w tym 3m strefy bezpieczeństwa wzdłuż linii bocznych i 5m za bramką,</w:t>
      </w:r>
    </w:p>
    <w:p w14:paraId="18580650" w14:textId="77777777" w:rsidR="00292C8E" w:rsidRPr="00B024E7" w:rsidRDefault="00292C8E" w:rsidP="00292C8E">
      <w:pPr>
        <w:jc w:val="both"/>
        <w:rPr>
          <w:rFonts w:ascii="Calibri" w:hAnsi="Calibri" w:cs="Calibri"/>
          <w:sz w:val="20"/>
          <w:szCs w:val="20"/>
        </w:rPr>
      </w:pPr>
      <w:r w:rsidRPr="00B024E7">
        <w:rPr>
          <w:rFonts w:ascii="Calibri" w:hAnsi="Calibri" w:cs="Calibri"/>
          <w:sz w:val="20"/>
          <w:szCs w:val="20"/>
        </w:rPr>
        <w:t xml:space="preserve">- piłkochwyty, </w:t>
      </w:r>
    </w:p>
    <w:p w14:paraId="03F6D6C0" w14:textId="30856BBC" w:rsidR="00292C8E" w:rsidRPr="00B024E7" w:rsidRDefault="00292C8E" w:rsidP="00292C8E">
      <w:pPr>
        <w:jc w:val="both"/>
        <w:rPr>
          <w:rFonts w:ascii="Calibri" w:hAnsi="Calibri" w:cs="Calibri"/>
          <w:sz w:val="20"/>
          <w:szCs w:val="20"/>
        </w:rPr>
      </w:pPr>
      <w:r w:rsidRPr="00B024E7">
        <w:rPr>
          <w:rFonts w:ascii="Calibri" w:hAnsi="Calibri" w:cs="Calibri"/>
          <w:sz w:val="20"/>
          <w:szCs w:val="20"/>
        </w:rPr>
        <w:t>-ogrodzenie boiska wraz z bramkami wejściowymi i bramami technicznymi</w:t>
      </w:r>
      <w:r w:rsidR="00CC12CD">
        <w:rPr>
          <w:rFonts w:ascii="Calibri" w:hAnsi="Calibri" w:cs="Calibri"/>
          <w:sz w:val="20"/>
          <w:szCs w:val="20"/>
        </w:rPr>
        <w:t>,</w:t>
      </w:r>
    </w:p>
    <w:p w14:paraId="2F993342" w14:textId="0982D302" w:rsidR="00292C8E" w:rsidRPr="00B024E7" w:rsidRDefault="00292C8E" w:rsidP="00292C8E">
      <w:pPr>
        <w:jc w:val="both"/>
        <w:rPr>
          <w:rFonts w:ascii="Calibri" w:hAnsi="Calibri" w:cs="Calibri"/>
          <w:sz w:val="20"/>
          <w:szCs w:val="20"/>
        </w:rPr>
      </w:pPr>
      <w:r w:rsidRPr="00B024E7">
        <w:rPr>
          <w:rFonts w:ascii="Calibri" w:hAnsi="Calibri" w:cs="Calibri"/>
          <w:sz w:val="20"/>
          <w:szCs w:val="20"/>
        </w:rPr>
        <w:t>-utwardzenie kostką betonową: strona wschodnia jeden rząd siedzisk sportowych, strona zachodnia strefa zawodników rezerwowych wraz z zadaszonymi wiatami stadionowymi</w:t>
      </w:r>
      <w:r w:rsidR="00CC12CD">
        <w:rPr>
          <w:rFonts w:ascii="Calibri" w:hAnsi="Calibri" w:cs="Calibri"/>
          <w:sz w:val="20"/>
          <w:szCs w:val="20"/>
        </w:rPr>
        <w:t>,</w:t>
      </w:r>
    </w:p>
    <w:p w14:paraId="23502499" w14:textId="7AE5A0AE" w:rsidR="00292C8E" w:rsidRPr="00B024E7" w:rsidRDefault="00292C8E" w:rsidP="00292C8E">
      <w:pPr>
        <w:rPr>
          <w:rFonts w:ascii="Calibri" w:hAnsi="Calibri" w:cs="Calibri"/>
          <w:sz w:val="20"/>
          <w:szCs w:val="20"/>
        </w:rPr>
      </w:pPr>
      <w:r w:rsidRPr="00B024E7">
        <w:rPr>
          <w:rFonts w:ascii="Calibri" w:hAnsi="Calibri" w:cs="Calibri"/>
          <w:sz w:val="20"/>
          <w:szCs w:val="20"/>
        </w:rPr>
        <w:t>-oświetlenie boiska</w:t>
      </w:r>
      <w:r w:rsidR="00CC12CD">
        <w:rPr>
          <w:rFonts w:ascii="Calibri" w:hAnsi="Calibri" w:cs="Calibri"/>
          <w:sz w:val="20"/>
          <w:szCs w:val="20"/>
        </w:rPr>
        <w:t>,</w:t>
      </w:r>
    </w:p>
    <w:p w14:paraId="5498CF35" w14:textId="565232D0" w:rsidR="00292C8E" w:rsidRPr="00B024E7" w:rsidRDefault="00292C8E" w:rsidP="00292C8E">
      <w:pPr>
        <w:rPr>
          <w:rFonts w:ascii="Calibri" w:hAnsi="Calibri" w:cs="Calibri"/>
          <w:sz w:val="20"/>
          <w:szCs w:val="20"/>
        </w:rPr>
      </w:pPr>
      <w:r w:rsidRPr="00B024E7">
        <w:rPr>
          <w:rFonts w:ascii="Calibri" w:hAnsi="Calibri" w:cs="Calibri"/>
          <w:sz w:val="20"/>
          <w:szCs w:val="20"/>
        </w:rPr>
        <w:t>-kosze na śmieci</w:t>
      </w:r>
      <w:r w:rsidR="00CC12CD">
        <w:rPr>
          <w:rFonts w:ascii="Calibri" w:hAnsi="Calibri" w:cs="Calibri"/>
          <w:sz w:val="20"/>
          <w:szCs w:val="20"/>
        </w:rPr>
        <w:t>,</w:t>
      </w:r>
    </w:p>
    <w:p w14:paraId="055204FE" w14:textId="2A743C4A" w:rsidR="00292C8E" w:rsidRPr="00B024E7" w:rsidRDefault="00292C8E" w:rsidP="00292C8E">
      <w:pPr>
        <w:rPr>
          <w:rFonts w:ascii="Calibri" w:hAnsi="Calibri" w:cs="Calibri"/>
          <w:sz w:val="20"/>
          <w:szCs w:val="20"/>
        </w:rPr>
      </w:pPr>
      <w:r w:rsidRPr="00B024E7">
        <w:rPr>
          <w:rFonts w:ascii="Calibri" w:hAnsi="Calibri" w:cs="Calibri"/>
          <w:sz w:val="20"/>
          <w:szCs w:val="20"/>
        </w:rPr>
        <w:t>-drenaż boiska</w:t>
      </w:r>
      <w:r w:rsidR="00CC12CD">
        <w:rPr>
          <w:rFonts w:ascii="Calibri" w:hAnsi="Calibri" w:cs="Calibri"/>
          <w:sz w:val="20"/>
          <w:szCs w:val="20"/>
        </w:rPr>
        <w:t>,</w:t>
      </w:r>
    </w:p>
    <w:p w14:paraId="3696247E" w14:textId="77777777" w:rsidR="00292C8E" w:rsidRPr="00B024E7" w:rsidRDefault="00292C8E" w:rsidP="00292C8E">
      <w:pPr>
        <w:rPr>
          <w:rFonts w:ascii="Calibri" w:hAnsi="Calibri" w:cs="Calibri"/>
          <w:sz w:val="20"/>
          <w:szCs w:val="20"/>
        </w:rPr>
      </w:pPr>
      <w:r w:rsidRPr="00B024E7">
        <w:rPr>
          <w:rFonts w:ascii="Calibri" w:hAnsi="Calibri" w:cs="Calibri"/>
          <w:sz w:val="20"/>
          <w:szCs w:val="20"/>
        </w:rPr>
        <w:t>- zbiornik retencyjny,</w:t>
      </w:r>
    </w:p>
    <w:p w14:paraId="3902D3A9" w14:textId="77777777" w:rsidR="00292C8E" w:rsidRPr="00B024E7" w:rsidRDefault="00292C8E" w:rsidP="00292C8E">
      <w:pPr>
        <w:rPr>
          <w:rFonts w:ascii="Calibri" w:hAnsi="Calibri" w:cs="Calibri"/>
          <w:sz w:val="20"/>
          <w:szCs w:val="20"/>
        </w:rPr>
      </w:pPr>
      <w:r w:rsidRPr="00B024E7">
        <w:rPr>
          <w:rFonts w:ascii="Calibri" w:hAnsi="Calibri" w:cs="Calibri"/>
          <w:sz w:val="20"/>
          <w:szCs w:val="20"/>
        </w:rPr>
        <w:t>-zieleń niska trawniki.</w:t>
      </w:r>
    </w:p>
    <w:p w14:paraId="3C7EC4B9" w14:textId="77777777" w:rsidR="00292C8E" w:rsidRPr="00B024E7" w:rsidRDefault="00292C8E" w:rsidP="00292C8E">
      <w:pPr>
        <w:rPr>
          <w:rFonts w:ascii="Calibri" w:hAnsi="Calibri" w:cs="Calibri"/>
          <w:sz w:val="20"/>
          <w:szCs w:val="20"/>
        </w:rPr>
      </w:pPr>
      <w:r w:rsidRPr="00B024E7">
        <w:rPr>
          <w:rFonts w:ascii="Calibri" w:hAnsi="Calibri" w:cs="Calibri"/>
          <w:sz w:val="20"/>
          <w:szCs w:val="20"/>
        </w:rPr>
        <w:t>Zamawiający wybrał trawę syntetyczną – Wariant I:</w:t>
      </w:r>
    </w:p>
    <w:p w14:paraId="664DCE3D" w14:textId="77777777" w:rsidR="00292C8E" w:rsidRPr="00B024E7" w:rsidRDefault="00292C8E" w:rsidP="00292C8E">
      <w:pPr>
        <w:pStyle w:val="Default"/>
        <w:rPr>
          <w:color w:val="auto"/>
          <w:sz w:val="20"/>
          <w:szCs w:val="20"/>
        </w:rPr>
      </w:pPr>
      <w:r w:rsidRPr="00B024E7">
        <w:rPr>
          <w:b/>
          <w:bCs/>
          <w:color w:val="auto"/>
          <w:sz w:val="20"/>
          <w:szCs w:val="20"/>
        </w:rPr>
        <w:t xml:space="preserve">Trawa syntetyczna </w:t>
      </w:r>
      <w:r w:rsidRPr="00B024E7">
        <w:rPr>
          <w:color w:val="auto"/>
          <w:sz w:val="20"/>
          <w:szCs w:val="20"/>
        </w:rPr>
        <w:t>powinna mieć wklejone linie boiska do piłki nożnej i posiadać następujące parametry:</w:t>
      </w:r>
    </w:p>
    <w:p w14:paraId="51EDDC9D" w14:textId="6A34F4F0" w:rsidR="00292C8E" w:rsidRPr="00B024E7" w:rsidRDefault="00292C8E" w:rsidP="00292C8E">
      <w:pPr>
        <w:pStyle w:val="Default"/>
        <w:rPr>
          <w:color w:val="auto"/>
          <w:sz w:val="20"/>
          <w:szCs w:val="20"/>
        </w:rPr>
      </w:pPr>
      <w:r w:rsidRPr="00B024E7">
        <w:rPr>
          <w:color w:val="auto"/>
          <w:sz w:val="20"/>
          <w:szCs w:val="20"/>
        </w:rPr>
        <w:t xml:space="preserve">1. Metoda produkcji: </w:t>
      </w:r>
      <w:r w:rsidRPr="00B024E7">
        <w:rPr>
          <w:b/>
          <w:bCs/>
          <w:color w:val="auto"/>
          <w:sz w:val="20"/>
          <w:szCs w:val="20"/>
        </w:rPr>
        <w:t>tuftowana</w:t>
      </w:r>
      <w:r w:rsidR="00CC12CD">
        <w:rPr>
          <w:b/>
          <w:bCs/>
          <w:color w:val="auto"/>
          <w:sz w:val="20"/>
          <w:szCs w:val="20"/>
        </w:rPr>
        <w:t>.</w:t>
      </w:r>
    </w:p>
    <w:p w14:paraId="2D3566CD" w14:textId="77777777" w:rsidR="00292C8E" w:rsidRPr="00B024E7" w:rsidRDefault="00292C8E" w:rsidP="00292C8E">
      <w:pPr>
        <w:pStyle w:val="Default"/>
        <w:rPr>
          <w:color w:val="auto"/>
          <w:sz w:val="20"/>
          <w:szCs w:val="20"/>
        </w:rPr>
      </w:pPr>
      <w:r w:rsidRPr="00B024E7">
        <w:rPr>
          <w:color w:val="auto"/>
          <w:sz w:val="20"/>
          <w:szCs w:val="20"/>
        </w:rPr>
        <w:t xml:space="preserve">2. Podkład: poliuretanowy </w:t>
      </w:r>
    </w:p>
    <w:p w14:paraId="74B5924C" w14:textId="77777777" w:rsidR="00292C8E" w:rsidRPr="00B024E7" w:rsidRDefault="00292C8E" w:rsidP="00292C8E">
      <w:pPr>
        <w:pStyle w:val="Default"/>
        <w:rPr>
          <w:color w:val="auto"/>
          <w:sz w:val="20"/>
          <w:szCs w:val="20"/>
        </w:rPr>
      </w:pPr>
      <w:r w:rsidRPr="00B024E7">
        <w:rPr>
          <w:color w:val="auto"/>
          <w:sz w:val="20"/>
          <w:szCs w:val="20"/>
        </w:rPr>
        <w:t>(</w:t>
      </w:r>
      <w:r w:rsidRPr="00B024E7">
        <w:rPr>
          <w:b/>
          <w:bCs/>
          <w:color w:val="auto"/>
          <w:sz w:val="20"/>
          <w:szCs w:val="20"/>
        </w:rPr>
        <w:t>nie dopuszcza się traw na podkładzie z lateksu styradiano-butadianowego</w:t>
      </w:r>
      <w:r w:rsidRPr="00B024E7">
        <w:rPr>
          <w:color w:val="auto"/>
          <w:sz w:val="20"/>
          <w:szCs w:val="20"/>
        </w:rPr>
        <w:t>)</w:t>
      </w:r>
    </w:p>
    <w:p w14:paraId="74BA66EA" w14:textId="44B22641" w:rsidR="00292C8E" w:rsidRPr="00B024E7" w:rsidRDefault="00292C8E" w:rsidP="00292C8E">
      <w:pPr>
        <w:pStyle w:val="Default"/>
        <w:rPr>
          <w:color w:val="auto"/>
          <w:sz w:val="20"/>
          <w:szCs w:val="20"/>
        </w:rPr>
      </w:pPr>
      <w:r w:rsidRPr="00B024E7">
        <w:rPr>
          <w:color w:val="auto"/>
          <w:sz w:val="20"/>
          <w:szCs w:val="20"/>
        </w:rPr>
        <w:t>3. Ciężar całkowity nawierzchni na m2–min. 2 500 g</w:t>
      </w:r>
    </w:p>
    <w:p w14:paraId="2E0B2235" w14:textId="77777777" w:rsidR="00292C8E" w:rsidRPr="00B024E7" w:rsidRDefault="00292C8E" w:rsidP="00292C8E">
      <w:pPr>
        <w:pStyle w:val="Default"/>
        <w:rPr>
          <w:color w:val="auto"/>
          <w:sz w:val="20"/>
          <w:szCs w:val="20"/>
        </w:rPr>
      </w:pPr>
      <w:r w:rsidRPr="00B024E7">
        <w:rPr>
          <w:color w:val="auto"/>
          <w:sz w:val="20"/>
          <w:szCs w:val="20"/>
        </w:rPr>
        <w:t>4. Rodzaj i przekrój włókna:</w:t>
      </w:r>
    </w:p>
    <w:p w14:paraId="7C2C2730" w14:textId="01726F46" w:rsidR="00292C8E" w:rsidRPr="00B024E7" w:rsidRDefault="00292C8E" w:rsidP="00292C8E">
      <w:pPr>
        <w:pStyle w:val="Default"/>
        <w:rPr>
          <w:color w:val="auto"/>
          <w:sz w:val="20"/>
          <w:szCs w:val="20"/>
        </w:rPr>
      </w:pPr>
      <w:r w:rsidRPr="00B024E7">
        <w:rPr>
          <w:color w:val="auto"/>
          <w:sz w:val="20"/>
          <w:szCs w:val="20"/>
        </w:rPr>
        <w:t>a) PIERWSZE WŁÓKNO -włókno monofilowe (100%) z symetrycznie wtopionym rdzeniem wzmacniającym lub włókna monofilowe (100%) o przekroju rombu (diamentu) w ilości 60%</w:t>
      </w:r>
      <w:r w:rsidR="00CC12CD">
        <w:rPr>
          <w:color w:val="auto"/>
          <w:sz w:val="20"/>
          <w:szCs w:val="20"/>
        </w:rPr>
        <w:t>,</w:t>
      </w:r>
    </w:p>
    <w:p w14:paraId="44E857C5" w14:textId="77777777" w:rsidR="00292C8E" w:rsidRPr="00B024E7" w:rsidRDefault="00292C8E" w:rsidP="00292C8E">
      <w:pPr>
        <w:pStyle w:val="Default"/>
        <w:rPr>
          <w:color w:val="auto"/>
          <w:sz w:val="20"/>
          <w:szCs w:val="20"/>
        </w:rPr>
      </w:pPr>
      <w:r w:rsidRPr="00B024E7">
        <w:rPr>
          <w:color w:val="auto"/>
          <w:sz w:val="20"/>
          <w:szCs w:val="20"/>
        </w:rPr>
        <w:t>b) DRUGIE WŁÓKNO -monofilowe teksturowane (kręcone) o przekroju trójkąta w ilości 40%</w:t>
      </w:r>
    </w:p>
    <w:p w14:paraId="207BF9CF" w14:textId="77777777" w:rsidR="00292C8E" w:rsidRPr="00B024E7" w:rsidRDefault="00292C8E" w:rsidP="00292C8E">
      <w:pPr>
        <w:pStyle w:val="Default"/>
        <w:rPr>
          <w:color w:val="auto"/>
          <w:sz w:val="20"/>
          <w:szCs w:val="20"/>
        </w:rPr>
      </w:pPr>
      <w:r w:rsidRPr="00B024E7">
        <w:rPr>
          <w:color w:val="auto"/>
          <w:sz w:val="20"/>
          <w:szCs w:val="20"/>
        </w:rPr>
        <w:t>5. Grubość włókna</w:t>
      </w:r>
    </w:p>
    <w:p w14:paraId="4F2B3A7D" w14:textId="77777777" w:rsidR="00292C8E" w:rsidRPr="00B024E7" w:rsidRDefault="00292C8E" w:rsidP="00292C8E">
      <w:pPr>
        <w:pStyle w:val="Default"/>
        <w:rPr>
          <w:color w:val="auto"/>
          <w:sz w:val="20"/>
          <w:szCs w:val="20"/>
        </w:rPr>
      </w:pPr>
      <w:r w:rsidRPr="00B024E7">
        <w:rPr>
          <w:color w:val="auto"/>
          <w:sz w:val="20"/>
          <w:szCs w:val="20"/>
        </w:rPr>
        <w:t>a) PIERWSZE WŁÓKNO –min. 370 µm</w:t>
      </w:r>
    </w:p>
    <w:p w14:paraId="486FA168" w14:textId="77777777" w:rsidR="00292C8E" w:rsidRPr="00B024E7" w:rsidRDefault="00292C8E" w:rsidP="00292C8E">
      <w:pPr>
        <w:pStyle w:val="Default"/>
        <w:rPr>
          <w:color w:val="auto"/>
          <w:sz w:val="20"/>
          <w:szCs w:val="20"/>
        </w:rPr>
      </w:pPr>
      <w:r w:rsidRPr="00B024E7">
        <w:rPr>
          <w:color w:val="auto"/>
          <w:sz w:val="20"/>
          <w:szCs w:val="20"/>
        </w:rPr>
        <w:t>b) DRUGIE WŁÓKNO –min. 275 µm</w:t>
      </w:r>
    </w:p>
    <w:p w14:paraId="7D8FDE01" w14:textId="77777777" w:rsidR="00292C8E" w:rsidRPr="00B024E7" w:rsidRDefault="00292C8E" w:rsidP="00292C8E">
      <w:pPr>
        <w:pStyle w:val="Default"/>
        <w:rPr>
          <w:color w:val="auto"/>
          <w:sz w:val="20"/>
          <w:szCs w:val="20"/>
        </w:rPr>
      </w:pPr>
      <w:r w:rsidRPr="00B024E7">
        <w:rPr>
          <w:color w:val="auto"/>
          <w:sz w:val="20"/>
          <w:szCs w:val="20"/>
        </w:rPr>
        <w:t>6. Ilość pęczków na m2 –min. 14 500</w:t>
      </w:r>
    </w:p>
    <w:p w14:paraId="1344DAA8" w14:textId="77777777" w:rsidR="00292C8E" w:rsidRPr="00B024E7" w:rsidRDefault="00292C8E" w:rsidP="00292C8E">
      <w:pPr>
        <w:pStyle w:val="Default"/>
        <w:rPr>
          <w:color w:val="auto"/>
          <w:sz w:val="20"/>
          <w:szCs w:val="20"/>
        </w:rPr>
      </w:pPr>
      <w:r w:rsidRPr="00B024E7">
        <w:rPr>
          <w:color w:val="auto"/>
          <w:sz w:val="20"/>
          <w:szCs w:val="20"/>
        </w:rPr>
        <w:t xml:space="preserve">7. Ilość włókien na m2–min. 145000 </w:t>
      </w:r>
    </w:p>
    <w:p w14:paraId="5385101C" w14:textId="512108A1" w:rsidR="00292C8E" w:rsidRPr="00B024E7" w:rsidRDefault="00292C8E" w:rsidP="00292C8E">
      <w:pPr>
        <w:pStyle w:val="Default"/>
        <w:rPr>
          <w:color w:val="auto"/>
          <w:sz w:val="20"/>
          <w:szCs w:val="20"/>
        </w:rPr>
      </w:pPr>
      <w:r w:rsidRPr="00B024E7">
        <w:rPr>
          <w:color w:val="auto"/>
          <w:sz w:val="20"/>
          <w:szCs w:val="20"/>
        </w:rPr>
        <w:t>8. Skład włókna –100% polietylen (PE)</w:t>
      </w:r>
    </w:p>
    <w:p w14:paraId="32C7DB0A" w14:textId="77777777" w:rsidR="00292C8E" w:rsidRPr="00B024E7" w:rsidRDefault="00292C8E" w:rsidP="00292C8E">
      <w:pPr>
        <w:pStyle w:val="Default"/>
        <w:rPr>
          <w:color w:val="auto"/>
          <w:sz w:val="20"/>
          <w:szCs w:val="20"/>
        </w:rPr>
      </w:pPr>
      <w:r w:rsidRPr="00B024E7">
        <w:rPr>
          <w:color w:val="auto"/>
          <w:sz w:val="20"/>
          <w:szCs w:val="20"/>
        </w:rPr>
        <w:t>9. Wysokość włókna ponad podkładem: 35 mm ± 5%</w:t>
      </w:r>
    </w:p>
    <w:p w14:paraId="382AD272" w14:textId="77777777" w:rsidR="00292C8E" w:rsidRPr="00B024E7" w:rsidRDefault="00292C8E" w:rsidP="00292C8E">
      <w:pPr>
        <w:pStyle w:val="Default"/>
        <w:rPr>
          <w:color w:val="auto"/>
          <w:sz w:val="20"/>
          <w:szCs w:val="20"/>
        </w:rPr>
      </w:pPr>
      <w:r w:rsidRPr="00B024E7">
        <w:rPr>
          <w:color w:val="auto"/>
          <w:sz w:val="20"/>
          <w:szCs w:val="20"/>
        </w:rPr>
        <w:t>10. Ciężar włókna (dtex) –min. 20500</w:t>
      </w:r>
    </w:p>
    <w:p w14:paraId="5DD821A6" w14:textId="77777777" w:rsidR="00292C8E" w:rsidRPr="00B024E7" w:rsidRDefault="00292C8E" w:rsidP="00292C8E">
      <w:pPr>
        <w:pStyle w:val="Default"/>
        <w:rPr>
          <w:color w:val="auto"/>
          <w:sz w:val="20"/>
          <w:szCs w:val="20"/>
        </w:rPr>
      </w:pPr>
      <w:r w:rsidRPr="00B024E7">
        <w:rPr>
          <w:color w:val="auto"/>
          <w:sz w:val="20"/>
          <w:szCs w:val="20"/>
        </w:rPr>
        <w:t>11. Waga włókna na m2–min. 1200 g</w:t>
      </w:r>
    </w:p>
    <w:p w14:paraId="478FCD06" w14:textId="77777777" w:rsidR="00292C8E" w:rsidRPr="00B024E7" w:rsidRDefault="00292C8E" w:rsidP="00292C8E">
      <w:pPr>
        <w:pStyle w:val="Default"/>
        <w:rPr>
          <w:color w:val="auto"/>
          <w:sz w:val="20"/>
          <w:szCs w:val="20"/>
        </w:rPr>
      </w:pPr>
      <w:r w:rsidRPr="00B024E7">
        <w:rPr>
          <w:color w:val="auto"/>
          <w:sz w:val="20"/>
          <w:szCs w:val="20"/>
        </w:rPr>
        <w:t>12. Kolor –min. dwa odcienie zielonego w jednym pęczku</w:t>
      </w:r>
    </w:p>
    <w:p w14:paraId="72B93259" w14:textId="77777777" w:rsidR="00292C8E" w:rsidRPr="00B024E7" w:rsidRDefault="00292C8E" w:rsidP="00292C8E">
      <w:pPr>
        <w:pStyle w:val="Default"/>
        <w:rPr>
          <w:color w:val="auto"/>
          <w:sz w:val="20"/>
          <w:szCs w:val="20"/>
        </w:rPr>
      </w:pPr>
      <w:r w:rsidRPr="00B024E7">
        <w:rPr>
          <w:color w:val="auto"/>
          <w:sz w:val="20"/>
          <w:szCs w:val="20"/>
        </w:rPr>
        <w:t>13. Przepuszczalność wody dla kompletnego systemu –min. 1 900 mm/h</w:t>
      </w:r>
    </w:p>
    <w:p w14:paraId="45CD7200" w14:textId="77777777" w:rsidR="00292C8E" w:rsidRPr="00B024E7" w:rsidRDefault="00292C8E" w:rsidP="00292C8E">
      <w:pPr>
        <w:pStyle w:val="Default"/>
        <w:rPr>
          <w:color w:val="auto"/>
          <w:sz w:val="20"/>
          <w:szCs w:val="20"/>
        </w:rPr>
      </w:pPr>
      <w:r w:rsidRPr="00B024E7">
        <w:rPr>
          <w:color w:val="auto"/>
          <w:sz w:val="20"/>
          <w:szCs w:val="20"/>
        </w:rPr>
        <w:t xml:space="preserve">14. Wytrzymałość na wyrywanie pęczków trawy po starzeniu –min. 40 N </w:t>
      </w:r>
    </w:p>
    <w:p w14:paraId="759B329A" w14:textId="77777777" w:rsidR="00292C8E" w:rsidRPr="00B024E7" w:rsidRDefault="00292C8E" w:rsidP="00292C8E">
      <w:pPr>
        <w:pStyle w:val="Default"/>
        <w:rPr>
          <w:color w:val="auto"/>
          <w:sz w:val="20"/>
          <w:szCs w:val="20"/>
        </w:rPr>
      </w:pPr>
      <w:r w:rsidRPr="00B024E7">
        <w:rPr>
          <w:color w:val="auto"/>
          <w:sz w:val="20"/>
          <w:szCs w:val="20"/>
        </w:rPr>
        <w:t>15. Wytrzymałość łączenia klejonego między brytami po starzeniu –min. 150 N/100mm</w:t>
      </w:r>
    </w:p>
    <w:p w14:paraId="02B61F93" w14:textId="77777777" w:rsidR="008C50AD" w:rsidRDefault="008C50AD" w:rsidP="008C50AD">
      <w:pPr>
        <w:pStyle w:val="Akapitzlist"/>
        <w:tabs>
          <w:tab w:val="left" w:pos="284"/>
        </w:tabs>
        <w:ind w:left="0"/>
        <w:jc w:val="both"/>
        <w:rPr>
          <w:rFonts w:cstheme="minorHAnsi"/>
          <w:bCs/>
          <w:sz w:val="20"/>
          <w:szCs w:val="20"/>
        </w:rPr>
      </w:pPr>
    </w:p>
    <w:p w14:paraId="5BBF21C5" w14:textId="54779BDA" w:rsidR="008C50AD" w:rsidRPr="008C50AD" w:rsidRDefault="008C50AD" w:rsidP="008C50AD">
      <w:pPr>
        <w:pStyle w:val="Akapitzlist"/>
        <w:tabs>
          <w:tab w:val="left" w:pos="284"/>
        </w:tabs>
        <w:ind w:left="0"/>
        <w:jc w:val="both"/>
        <w:rPr>
          <w:rFonts w:cstheme="minorHAnsi"/>
          <w:sz w:val="20"/>
          <w:szCs w:val="20"/>
        </w:rPr>
      </w:pPr>
      <w:r w:rsidRPr="008C50AD">
        <w:rPr>
          <w:rFonts w:cstheme="minorHAnsi"/>
          <w:bCs/>
          <w:sz w:val="20"/>
          <w:szCs w:val="20"/>
        </w:rPr>
        <w:t>S</w:t>
      </w:r>
      <w:r w:rsidRPr="008C50AD">
        <w:rPr>
          <w:rFonts w:cstheme="minorHAnsi"/>
          <w:sz w:val="20"/>
          <w:szCs w:val="20"/>
        </w:rPr>
        <w:t xml:space="preserve">zczegółowy zakres i sposób wykonania zadania określają kolejno: projekty budowlane, projekty wykonawcze, projekty techniczne, projekt zagospodarowania działki, projekt architektoniczno-budowlany, przedmiary robót, specyfikacje techniczne wykonania i odbioru robót budowlanych, projekt umowy, stanowiące załączniki do SWZ. </w:t>
      </w:r>
    </w:p>
    <w:p w14:paraId="4F8DBE52" w14:textId="77777777" w:rsidR="00292C8E" w:rsidRPr="00292C8E" w:rsidRDefault="00292C8E"/>
    <w:sectPr w:rsidR="00292C8E" w:rsidRPr="00292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1663"/>
    <w:multiLevelType w:val="multilevel"/>
    <w:tmpl w:val="94808DD0"/>
    <w:lvl w:ilvl="0">
      <w:start w:val="1"/>
      <w:numFmt w:val="decimal"/>
      <w:lvlText w:val="%1."/>
      <w:lvlJc w:val="left"/>
      <w:pPr>
        <w:ind w:left="720" w:hanging="360"/>
      </w:pPr>
      <w:rPr>
        <w:rFonts w:hint="default"/>
        <w:b w:val="0"/>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num w:numId="1" w16cid:durableId="157601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7E"/>
    <w:rsid w:val="00292C8E"/>
    <w:rsid w:val="002A54B9"/>
    <w:rsid w:val="003F1E30"/>
    <w:rsid w:val="00532720"/>
    <w:rsid w:val="005C327E"/>
    <w:rsid w:val="008C50AD"/>
    <w:rsid w:val="00CC1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6ACD"/>
  <w15:chartTrackingRefBased/>
  <w15:docId w15:val="{844E10A3-D8EC-4430-9F09-AAD5BFE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C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92C8E"/>
    <w:pPr>
      <w:tabs>
        <w:tab w:val="center" w:pos="4536"/>
        <w:tab w:val="right" w:pos="9072"/>
      </w:tabs>
    </w:pPr>
  </w:style>
  <w:style w:type="character" w:customStyle="1" w:styleId="NagwekZnak">
    <w:name w:val="Nagłówek Znak"/>
    <w:basedOn w:val="Domylnaczcionkaakapitu"/>
    <w:link w:val="Nagwek"/>
    <w:rsid w:val="00292C8E"/>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292C8E"/>
    <w:pPr>
      <w:jc w:val="both"/>
    </w:pPr>
    <w:rPr>
      <w:rFonts w:ascii="Arial" w:hAnsi="Arial"/>
      <w:b/>
      <w:sz w:val="22"/>
      <w:szCs w:val="20"/>
    </w:rPr>
  </w:style>
  <w:style w:type="character" w:customStyle="1" w:styleId="TekstpodstawowyZnak">
    <w:name w:val="Tekst podstawowy Znak"/>
    <w:basedOn w:val="Domylnaczcionkaakapitu"/>
    <w:link w:val="Tekstpodstawowy"/>
    <w:rsid w:val="00292C8E"/>
    <w:rPr>
      <w:rFonts w:ascii="Arial" w:eastAsia="Times New Roman" w:hAnsi="Arial" w:cs="Times New Roman"/>
      <w:b/>
      <w:szCs w:val="20"/>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292C8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92C8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C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437">
      <w:bodyDiv w:val="1"/>
      <w:marLeft w:val="0"/>
      <w:marRight w:val="0"/>
      <w:marTop w:val="0"/>
      <w:marBottom w:val="0"/>
      <w:divBdr>
        <w:top w:val="none" w:sz="0" w:space="0" w:color="auto"/>
        <w:left w:val="none" w:sz="0" w:space="0" w:color="auto"/>
        <w:bottom w:val="none" w:sz="0" w:space="0" w:color="auto"/>
        <w:right w:val="none" w:sz="0" w:space="0" w:color="auto"/>
      </w:divBdr>
    </w:div>
    <w:div w:id="13703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984</Words>
  <Characters>5907</Characters>
  <Application>Microsoft Office Word</Application>
  <DocSecurity>0</DocSecurity>
  <Lines>49</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Romanik</dc:creator>
  <cp:keywords/>
  <dc:description/>
  <cp:lastModifiedBy>Anna Romanik</cp:lastModifiedBy>
  <cp:revision>6</cp:revision>
  <cp:lastPrinted>2022-08-05T09:34:00Z</cp:lastPrinted>
  <dcterms:created xsi:type="dcterms:W3CDTF">2022-08-05T09:29:00Z</dcterms:created>
  <dcterms:modified xsi:type="dcterms:W3CDTF">2022-08-05T09:40:00Z</dcterms:modified>
</cp:coreProperties>
</file>