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E" w:rsidRDefault="003B416D" w:rsidP="005832CE">
      <w:pPr>
        <w:tabs>
          <w:tab w:val="left" w:leader="dot" w:pos="3402"/>
          <w:tab w:val="left" w:pos="7088"/>
        </w:tabs>
        <w:ind w:right="-851"/>
        <w:rPr>
          <w:rFonts w:ascii="Cambria" w:hAnsi="Cambria" w:cstheme="minorHAnsi"/>
          <w:sz w:val="22"/>
          <w:szCs w:val="22"/>
        </w:rPr>
      </w:pPr>
      <w:bookmarkStart w:id="0" w:name="_Toc458156844"/>
      <w:bookmarkStart w:id="1" w:name="_Toc81211659"/>
      <w:r w:rsidRPr="00B23D55">
        <w:rPr>
          <w:rFonts w:ascii="Cambria" w:hAnsi="Cambria" w:cstheme="minorHAnsi"/>
          <w:sz w:val="22"/>
          <w:szCs w:val="22"/>
        </w:rPr>
        <w:t xml:space="preserve">Zamawiający:                                                                       </w:t>
      </w:r>
      <w:r w:rsidR="005832CE">
        <w:rPr>
          <w:rFonts w:ascii="Cambria" w:hAnsi="Cambria" w:cstheme="minorHAnsi"/>
          <w:sz w:val="22"/>
          <w:szCs w:val="22"/>
        </w:rPr>
        <w:t xml:space="preserve">                         </w:t>
      </w:r>
    </w:p>
    <w:p w:rsidR="003B416D" w:rsidRPr="00B23D55" w:rsidRDefault="005832CE" w:rsidP="005832CE">
      <w:pPr>
        <w:tabs>
          <w:tab w:val="left" w:leader="dot" w:pos="3402"/>
          <w:tab w:val="left" w:pos="7088"/>
        </w:tabs>
        <w:ind w:right="-851"/>
        <w:jc w:val="right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Nidzica</w:t>
      </w:r>
      <w:r w:rsidR="003B416D" w:rsidRPr="00B23D55">
        <w:rPr>
          <w:rFonts w:ascii="Cambria" w:hAnsi="Cambria" w:cstheme="minorHAnsi"/>
          <w:sz w:val="22"/>
          <w:szCs w:val="22"/>
        </w:rPr>
        <w:t xml:space="preserve">, </w:t>
      </w:r>
      <w:r>
        <w:rPr>
          <w:rFonts w:ascii="Cambria" w:hAnsi="Cambria" w:cstheme="minorHAnsi"/>
          <w:sz w:val="22"/>
          <w:szCs w:val="22"/>
        </w:rPr>
        <w:t>07.12</w:t>
      </w:r>
      <w:r w:rsidR="00B23D55" w:rsidRPr="00B23D55">
        <w:rPr>
          <w:rFonts w:ascii="Cambria" w:hAnsi="Cambria" w:cstheme="minorHAnsi"/>
          <w:sz w:val="22"/>
          <w:szCs w:val="22"/>
        </w:rPr>
        <w:t>.2021</w:t>
      </w:r>
    </w:p>
    <w:p w:rsidR="005832CE" w:rsidRPr="005832CE" w:rsidRDefault="005832CE" w:rsidP="005832CE">
      <w:pPr>
        <w:tabs>
          <w:tab w:val="left" w:leader="dot" w:pos="3402"/>
        </w:tabs>
        <w:rPr>
          <w:rFonts w:ascii="Cambria" w:eastAsia="Calibri" w:hAnsi="Cambria" w:cstheme="minorHAnsi"/>
          <w:spacing w:val="-2"/>
          <w:sz w:val="22"/>
          <w:szCs w:val="22"/>
          <w:lang w:eastAsia="en-US"/>
        </w:rPr>
      </w:pPr>
      <w:r w:rsidRPr="005832CE">
        <w:rPr>
          <w:rFonts w:ascii="Cambria" w:eastAsia="Calibri" w:hAnsi="Cambria" w:cstheme="minorHAnsi"/>
          <w:spacing w:val="-2"/>
          <w:sz w:val="22"/>
          <w:szCs w:val="22"/>
          <w:lang w:eastAsia="en-US"/>
        </w:rPr>
        <w:t>Gmina Nidzica</w:t>
      </w:r>
    </w:p>
    <w:p w:rsidR="005832CE" w:rsidRPr="005832CE" w:rsidRDefault="005832CE" w:rsidP="005832CE">
      <w:pPr>
        <w:tabs>
          <w:tab w:val="left" w:leader="dot" w:pos="3402"/>
        </w:tabs>
        <w:rPr>
          <w:rFonts w:ascii="Cambria" w:eastAsia="Calibri" w:hAnsi="Cambria" w:cstheme="minorHAnsi"/>
          <w:spacing w:val="-2"/>
          <w:sz w:val="22"/>
          <w:szCs w:val="22"/>
          <w:lang w:eastAsia="en-US"/>
        </w:rPr>
      </w:pPr>
      <w:r w:rsidRPr="005832CE">
        <w:rPr>
          <w:rFonts w:ascii="Cambria" w:eastAsia="Calibri" w:hAnsi="Cambria" w:cstheme="minorHAnsi"/>
          <w:spacing w:val="-2"/>
          <w:sz w:val="22"/>
          <w:szCs w:val="22"/>
          <w:lang w:eastAsia="en-US"/>
        </w:rPr>
        <w:t>Plac Wolności 1</w:t>
      </w:r>
    </w:p>
    <w:p w:rsidR="003B416D" w:rsidRPr="00B23D55" w:rsidRDefault="005832CE" w:rsidP="005832CE">
      <w:pPr>
        <w:tabs>
          <w:tab w:val="left" w:leader="dot" w:pos="3402"/>
        </w:tabs>
        <w:rPr>
          <w:rFonts w:ascii="Cambria" w:hAnsi="Cambria" w:cstheme="minorHAnsi"/>
          <w:sz w:val="22"/>
          <w:szCs w:val="22"/>
        </w:rPr>
      </w:pPr>
      <w:r w:rsidRPr="005832CE">
        <w:rPr>
          <w:rFonts w:ascii="Cambria" w:eastAsia="Calibri" w:hAnsi="Cambria" w:cstheme="minorHAnsi"/>
          <w:spacing w:val="-2"/>
          <w:sz w:val="22"/>
          <w:szCs w:val="22"/>
          <w:lang w:eastAsia="en-US"/>
        </w:rPr>
        <w:t>13-100 Nidzica</w:t>
      </w:r>
    </w:p>
    <w:p w:rsidR="003B416D" w:rsidRPr="00B23D55" w:rsidRDefault="003B416D" w:rsidP="003B416D">
      <w:pPr>
        <w:jc w:val="both"/>
        <w:rPr>
          <w:rFonts w:ascii="Cambria" w:hAnsi="Cambria" w:cstheme="minorHAnsi"/>
          <w:sz w:val="22"/>
          <w:szCs w:val="22"/>
        </w:rPr>
      </w:pP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</w:r>
      <w:r w:rsidRPr="00B23D55">
        <w:rPr>
          <w:rFonts w:ascii="Cambria" w:hAnsi="Cambria" w:cstheme="minorHAnsi"/>
          <w:sz w:val="22"/>
          <w:szCs w:val="22"/>
        </w:rPr>
        <w:tab/>
        <w:t xml:space="preserve"> </w:t>
      </w:r>
    </w:p>
    <w:p w:rsidR="003B416D" w:rsidRPr="00B23D55" w:rsidRDefault="003B416D" w:rsidP="003B416D">
      <w:pPr>
        <w:jc w:val="both"/>
        <w:rPr>
          <w:rFonts w:ascii="Cambria" w:hAnsi="Cambria" w:cstheme="minorHAnsi"/>
          <w:sz w:val="22"/>
          <w:szCs w:val="22"/>
        </w:rPr>
      </w:pPr>
    </w:p>
    <w:p w:rsidR="003B416D" w:rsidRPr="00B23D55" w:rsidRDefault="003B416D" w:rsidP="003B416D">
      <w:pPr>
        <w:pStyle w:val="Styl1-dopisek-od-lewej"/>
        <w:tabs>
          <w:tab w:val="center" w:pos="7380"/>
        </w:tabs>
        <w:spacing w:line="240" w:lineRule="auto"/>
        <w:ind w:left="7788"/>
        <w:rPr>
          <w:rFonts w:ascii="Cambria" w:hAnsi="Cambria" w:cstheme="minorHAnsi"/>
          <w:sz w:val="22"/>
          <w:szCs w:val="22"/>
        </w:rPr>
      </w:pPr>
    </w:p>
    <w:p w:rsidR="003B416D" w:rsidRPr="00B23D55" w:rsidRDefault="003B416D" w:rsidP="003B416D">
      <w:pPr>
        <w:ind w:left="6096"/>
        <w:jc w:val="both"/>
        <w:rPr>
          <w:rFonts w:ascii="Cambria" w:hAnsi="Cambria" w:cstheme="minorHAnsi"/>
          <w:sz w:val="22"/>
          <w:szCs w:val="22"/>
        </w:rPr>
      </w:pPr>
      <w:r w:rsidRPr="00B23D55">
        <w:rPr>
          <w:rFonts w:ascii="Cambria" w:hAnsi="Cambria" w:cstheme="minorHAnsi"/>
          <w:sz w:val="22"/>
          <w:szCs w:val="22"/>
        </w:rPr>
        <w:t>Wykonawcy (Wszyscy)</w:t>
      </w:r>
    </w:p>
    <w:p w:rsidR="003B416D" w:rsidRPr="00B23D55" w:rsidRDefault="003B416D" w:rsidP="003B416D">
      <w:pPr>
        <w:ind w:left="6096"/>
        <w:jc w:val="both"/>
        <w:rPr>
          <w:rFonts w:ascii="Cambria" w:hAnsi="Cambria" w:cstheme="minorHAnsi"/>
          <w:sz w:val="22"/>
          <w:szCs w:val="22"/>
        </w:rPr>
      </w:pPr>
    </w:p>
    <w:p w:rsidR="003B416D" w:rsidRPr="00B23D55" w:rsidRDefault="00E948DB" w:rsidP="003B416D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Z</w:t>
      </w:r>
      <w:r w:rsidR="003B416D" w:rsidRPr="00B23D55">
        <w:rPr>
          <w:rFonts w:ascii="Cambria" w:hAnsi="Cambria" w:cstheme="minorHAnsi"/>
          <w:b/>
          <w:bCs/>
          <w:sz w:val="22"/>
          <w:szCs w:val="22"/>
        </w:rPr>
        <w:t>miany treści SWZ</w:t>
      </w:r>
    </w:p>
    <w:p w:rsidR="003B416D" w:rsidRPr="00B23D55" w:rsidRDefault="003B416D" w:rsidP="003B416D">
      <w:pPr>
        <w:jc w:val="both"/>
        <w:rPr>
          <w:rFonts w:ascii="Cambria" w:hAnsi="Cambria" w:cstheme="minorHAnsi"/>
          <w:sz w:val="22"/>
          <w:szCs w:val="22"/>
        </w:rPr>
      </w:pPr>
    </w:p>
    <w:p w:rsidR="005832CE" w:rsidRDefault="003B416D" w:rsidP="005832CE">
      <w:pPr>
        <w:jc w:val="both"/>
        <w:rPr>
          <w:rFonts w:ascii="Cambria" w:hAnsi="Cambria" w:cstheme="minorHAnsi"/>
          <w:sz w:val="22"/>
          <w:szCs w:val="22"/>
          <w:lang w:eastAsia="en-US"/>
        </w:rPr>
      </w:pPr>
      <w:r w:rsidRPr="00B23D55">
        <w:rPr>
          <w:rFonts w:ascii="Cambria" w:hAnsi="Cambria" w:cstheme="minorHAnsi"/>
          <w:sz w:val="22"/>
          <w:szCs w:val="22"/>
        </w:rPr>
        <w:t xml:space="preserve">dotyczy: </w:t>
      </w:r>
      <w:r w:rsidR="005832CE" w:rsidRPr="005832CE">
        <w:rPr>
          <w:rFonts w:ascii="Cambria" w:hAnsi="Cambria" w:cstheme="minorHAnsi"/>
          <w:sz w:val="22"/>
          <w:szCs w:val="22"/>
          <w:lang w:eastAsia="en-US"/>
        </w:rPr>
        <w:t>ubezpieczenie majątku i innych interesów Gminy Nidzica wraz z jednostkami organizacyjnymi i instytucjami kultury; nr ref.: TI.271.13.2021</w:t>
      </w:r>
      <w:bookmarkStart w:id="2" w:name="_GoBack"/>
      <w:bookmarkEnd w:id="2"/>
    </w:p>
    <w:p w:rsidR="005832CE" w:rsidRDefault="005832CE" w:rsidP="005832CE">
      <w:pPr>
        <w:jc w:val="both"/>
        <w:rPr>
          <w:rFonts w:ascii="Cambria" w:hAnsi="Cambria" w:cstheme="minorHAnsi"/>
          <w:sz w:val="22"/>
          <w:szCs w:val="22"/>
          <w:lang w:eastAsia="en-US"/>
        </w:rPr>
      </w:pPr>
    </w:p>
    <w:p w:rsidR="00097D65" w:rsidRPr="00B23D55" w:rsidRDefault="00097D65" w:rsidP="005832CE">
      <w:pPr>
        <w:jc w:val="both"/>
        <w:rPr>
          <w:rFonts w:ascii="Cambria" w:eastAsia="Calibri" w:hAnsi="Cambria" w:cs="Arial"/>
          <w:sz w:val="22"/>
          <w:szCs w:val="22"/>
        </w:rPr>
      </w:pPr>
      <w:r w:rsidRPr="00B23D55">
        <w:rPr>
          <w:rFonts w:ascii="Cambria" w:eastAsia="Calibri" w:hAnsi="Cambria" w:cs="Arial"/>
          <w:sz w:val="22"/>
          <w:szCs w:val="22"/>
        </w:rPr>
        <w:t>Zamawiający informuje, że na podstawie art. 286 ust. 1 ustawy z dnia 11 września 2019 r. – Prawo zamówień publicznych (tekst jednolity Dz.U. 2021 poz. 1129 ze zm.), zmienił treść SWZ.</w:t>
      </w:r>
    </w:p>
    <w:p w:rsidR="003B416D" w:rsidRPr="00B23D55" w:rsidRDefault="003B416D" w:rsidP="00D46D76">
      <w:pPr>
        <w:widowControl w:val="0"/>
        <w:suppressAutoHyphens w:val="0"/>
        <w:outlineLvl w:val="0"/>
        <w:rPr>
          <w:rFonts w:ascii="Cambria" w:hAnsi="Cambria"/>
          <w:sz w:val="22"/>
          <w:szCs w:val="22"/>
        </w:rPr>
      </w:pPr>
    </w:p>
    <w:p w:rsidR="00B23D55" w:rsidRDefault="00954ACA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  <w:r w:rsidRPr="00B23D55">
        <w:rPr>
          <w:rFonts w:ascii="Cambria" w:hAnsi="Cambria"/>
          <w:sz w:val="22"/>
          <w:szCs w:val="22"/>
        </w:rPr>
        <w:t xml:space="preserve">Zmianie ulega załącznik </w:t>
      </w:r>
      <w:r w:rsidR="00D46D76" w:rsidRPr="00B23D55">
        <w:rPr>
          <w:rFonts w:ascii="Cambria" w:hAnsi="Cambria"/>
          <w:sz w:val="22"/>
          <w:szCs w:val="22"/>
        </w:rPr>
        <w:t>nr 2 do SWZ</w:t>
      </w:r>
      <w:bookmarkEnd w:id="0"/>
      <w:r w:rsidR="00D46D76" w:rsidRPr="00B23D55">
        <w:rPr>
          <w:rFonts w:ascii="Cambria" w:hAnsi="Cambria"/>
          <w:sz w:val="22"/>
          <w:szCs w:val="22"/>
        </w:rPr>
        <w:t>: Formularz oferta</w:t>
      </w:r>
      <w:bookmarkEnd w:id="1"/>
      <w:r w:rsidR="00255619">
        <w:rPr>
          <w:rFonts w:ascii="Cambria" w:hAnsi="Cambria"/>
          <w:sz w:val="22"/>
          <w:szCs w:val="22"/>
        </w:rPr>
        <w:t xml:space="preserve">, </w:t>
      </w:r>
      <w:r w:rsidRPr="00B23D55">
        <w:rPr>
          <w:rFonts w:ascii="Cambria" w:hAnsi="Cambria"/>
          <w:sz w:val="22"/>
          <w:szCs w:val="22"/>
        </w:rPr>
        <w:t xml:space="preserve">– poprzez wpisanie </w:t>
      </w:r>
      <w:r w:rsidR="00B23D55">
        <w:rPr>
          <w:rFonts w:ascii="Cambria" w:hAnsi="Cambria"/>
          <w:sz w:val="22"/>
          <w:szCs w:val="22"/>
        </w:rPr>
        <w:t xml:space="preserve">do </w:t>
      </w:r>
      <w:r w:rsidR="00E82A09">
        <w:rPr>
          <w:rFonts w:ascii="Cambria" w:hAnsi="Cambria"/>
          <w:sz w:val="22"/>
          <w:szCs w:val="22"/>
        </w:rPr>
        <w:t xml:space="preserve">formularza </w:t>
      </w:r>
      <w:r w:rsidR="008D57E9">
        <w:rPr>
          <w:rFonts w:ascii="Cambria" w:hAnsi="Cambria"/>
          <w:sz w:val="22"/>
          <w:szCs w:val="22"/>
        </w:rPr>
        <w:t>ofer</w:t>
      </w:r>
      <w:r w:rsidR="00E82A09">
        <w:rPr>
          <w:rFonts w:ascii="Cambria" w:hAnsi="Cambria"/>
          <w:sz w:val="22"/>
          <w:szCs w:val="22"/>
        </w:rPr>
        <w:t xml:space="preserve">towego </w:t>
      </w:r>
      <w:r w:rsidR="008D57E9">
        <w:rPr>
          <w:rFonts w:ascii="Cambria" w:hAnsi="Cambria"/>
          <w:sz w:val="22"/>
          <w:szCs w:val="22"/>
        </w:rPr>
        <w:t>w punkcie III klauzul</w:t>
      </w:r>
      <w:r w:rsidRPr="00B23D55">
        <w:rPr>
          <w:rFonts w:ascii="Cambria" w:hAnsi="Cambria"/>
          <w:sz w:val="22"/>
          <w:szCs w:val="22"/>
          <w:lang w:eastAsia="pl-PL"/>
        </w:rPr>
        <w:t xml:space="preserve"> dodatkowych i inn</w:t>
      </w:r>
      <w:r w:rsidR="00E82A09">
        <w:rPr>
          <w:rFonts w:ascii="Cambria" w:hAnsi="Cambria"/>
          <w:sz w:val="22"/>
          <w:szCs w:val="22"/>
          <w:lang w:eastAsia="pl-PL"/>
        </w:rPr>
        <w:t>ych</w:t>
      </w:r>
      <w:r w:rsidRPr="00B23D55">
        <w:rPr>
          <w:rFonts w:ascii="Cambria" w:hAnsi="Cambria"/>
          <w:sz w:val="22"/>
          <w:szCs w:val="22"/>
          <w:lang w:eastAsia="pl-PL"/>
        </w:rPr>
        <w:t xml:space="preserve"> postanowi</w:t>
      </w:r>
      <w:r w:rsidR="00255619">
        <w:rPr>
          <w:rFonts w:ascii="Cambria" w:hAnsi="Cambria"/>
          <w:sz w:val="22"/>
          <w:szCs w:val="22"/>
          <w:lang w:eastAsia="pl-PL"/>
        </w:rPr>
        <w:t>e</w:t>
      </w:r>
      <w:r w:rsidR="00E82A09">
        <w:rPr>
          <w:rFonts w:ascii="Cambria" w:hAnsi="Cambria"/>
          <w:sz w:val="22"/>
          <w:szCs w:val="22"/>
          <w:lang w:eastAsia="pl-PL"/>
        </w:rPr>
        <w:t>ń</w:t>
      </w:r>
      <w:r w:rsidRPr="00B23D55">
        <w:rPr>
          <w:rFonts w:ascii="Cambria" w:hAnsi="Cambria"/>
          <w:sz w:val="22"/>
          <w:szCs w:val="22"/>
          <w:lang w:eastAsia="pl-PL"/>
        </w:rPr>
        <w:t xml:space="preserve"> szczególn</w:t>
      </w:r>
      <w:r w:rsidR="00E82A09">
        <w:rPr>
          <w:rFonts w:ascii="Cambria" w:hAnsi="Cambria"/>
          <w:sz w:val="22"/>
          <w:szCs w:val="22"/>
          <w:lang w:eastAsia="pl-PL"/>
        </w:rPr>
        <w:t>ie</w:t>
      </w:r>
      <w:r w:rsidRPr="00B23D55">
        <w:rPr>
          <w:rFonts w:ascii="Cambria" w:hAnsi="Cambria"/>
          <w:sz w:val="22"/>
          <w:szCs w:val="22"/>
          <w:lang w:eastAsia="pl-PL"/>
        </w:rPr>
        <w:t xml:space="preserve"> fakultatywn</w:t>
      </w:r>
      <w:r w:rsidR="00E82A09">
        <w:rPr>
          <w:rFonts w:ascii="Cambria" w:hAnsi="Cambria"/>
          <w:sz w:val="22"/>
          <w:szCs w:val="22"/>
          <w:lang w:eastAsia="pl-PL"/>
        </w:rPr>
        <w:t>ych</w:t>
      </w:r>
      <w:r w:rsidR="008D57E9">
        <w:rPr>
          <w:rFonts w:ascii="Cambria" w:hAnsi="Cambria"/>
          <w:sz w:val="22"/>
          <w:szCs w:val="22"/>
          <w:lang w:eastAsia="pl-PL"/>
        </w:rPr>
        <w:t xml:space="preserve"> – dotyczy I, II, III części zamówienia: </w:t>
      </w:r>
    </w:p>
    <w:p w:rsidR="00E82A09" w:rsidRDefault="00DE1453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W związku z zawarciem w punkcie 21 </w:t>
      </w:r>
      <w:proofErr w:type="spellStart"/>
      <w:r>
        <w:rPr>
          <w:rFonts w:ascii="Cambria" w:hAnsi="Cambria"/>
          <w:sz w:val="22"/>
          <w:szCs w:val="22"/>
          <w:lang w:eastAsia="pl-PL"/>
        </w:rPr>
        <w:t>ppkt</w:t>
      </w:r>
      <w:proofErr w:type="spellEnd"/>
      <w:r>
        <w:rPr>
          <w:rFonts w:ascii="Cambria" w:hAnsi="Cambria"/>
          <w:sz w:val="22"/>
          <w:szCs w:val="22"/>
          <w:lang w:eastAsia="pl-PL"/>
        </w:rPr>
        <w:t>. 21.3.1.3., 21.3.2.3., 21.3.3.3., SWZ wykazu</w:t>
      </w:r>
      <w:r w:rsidR="00E82A09">
        <w:rPr>
          <w:rFonts w:ascii="Cambria" w:hAnsi="Cambria"/>
          <w:sz w:val="22"/>
          <w:szCs w:val="22"/>
          <w:lang w:eastAsia="pl-PL"/>
        </w:rPr>
        <w:t xml:space="preserve"> klauzul dodatkowych i innych postanowień szczególnie fakultatywnych zmiana nie jest zmianą istotna i nie powoduje okoliczności przesunięcia terminu otwarcia ofert. </w:t>
      </w:r>
    </w:p>
    <w:p w:rsidR="00954ACA" w:rsidRPr="00B23D55" w:rsidRDefault="00954ACA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  <w:r w:rsidRPr="00B23D55">
        <w:rPr>
          <w:rFonts w:ascii="Cambria" w:hAnsi="Cambria"/>
          <w:sz w:val="22"/>
          <w:szCs w:val="22"/>
          <w:lang w:eastAsia="pl-PL"/>
        </w:rPr>
        <w:t xml:space="preserve"> </w:t>
      </w:r>
    </w:p>
    <w:p w:rsidR="00B23D55" w:rsidRPr="000E038A" w:rsidRDefault="00B23D55" w:rsidP="00B23D5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0E038A">
        <w:rPr>
          <w:rFonts w:ascii="Cambria" w:hAnsi="Cambria"/>
          <w:b/>
        </w:rPr>
        <w:t>Część I zamówienia - „Ubezpieczenie majątku, odpowiedzialności cywilnej</w:t>
      </w:r>
      <w:r w:rsidR="00AA6D3F">
        <w:rPr>
          <w:rFonts w:ascii="Cambria" w:hAnsi="Cambria"/>
          <w:b/>
        </w:rPr>
        <w:t xml:space="preserve"> </w:t>
      </w:r>
      <w:r w:rsidRPr="000E038A">
        <w:rPr>
          <w:rFonts w:ascii="Cambria" w:hAnsi="Cambria"/>
          <w:b/>
        </w:rPr>
        <w:t xml:space="preserve">Gminy </w:t>
      </w:r>
      <w:r w:rsidR="005832CE">
        <w:rPr>
          <w:rFonts w:ascii="Cambria" w:hAnsi="Cambria"/>
          <w:b/>
        </w:rPr>
        <w:t>Nidzica</w:t>
      </w:r>
      <w:r w:rsidRPr="000E038A">
        <w:rPr>
          <w:rFonts w:ascii="Cambria" w:hAnsi="Cambria"/>
          <w:b/>
        </w:rPr>
        <w:t>”</w:t>
      </w:r>
    </w:p>
    <w:p w:rsidR="00B23D55" w:rsidRPr="00B23D55" w:rsidRDefault="00B23D55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</w:p>
    <w:p w:rsidR="00912A05" w:rsidRPr="00912A05" w:rsidRDefault="00912A05" w:rsidP="00912A05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Było: </w:t>
      </w: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860"/>
        <w:gridCol w:w="1164"/>
      </w:tblGrid>
      <w:tr w:rsidR="00B23D55" w:rsidRPr="00B23D55" w:rsidTr="00AA6D3F">
        <w:trPr>
          <w:cantSplit/>
          <w:trHeight w:val="654"/>
          <w:jc w:val="center"/>
        </w:trPr>
        <w:tc>
          <w:tcPr>
            <w:tcW w:w="435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 xml:space="preserve">Klauzule dodatkowe i inne postanowienia szczególne fakultatywne, </w:t>
            </w:r>
          </w:p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dotyczące części I zamówienia</w:t>
            </w:r>
          </w:p>
        </w:tc>
        <w:tc>
          <w:tcPr>
            <w:tcW w:w="64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Akceptacja</w:t>
            </w:r>
          </w:p>
        </w:tc>
      </w:tr>
      <w:tr w:rsidR="00B23D55" w:rsidRPr="00B23D55" w:rsidTr="005832C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mienia od wszystkich ryzyk</w:t>
            </w: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645" w:type="pct"/>
            <w:tcBorders>
              <w:bottom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5832C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sprzętu elektronicznego od wszystkich ryzyk</w:t>
            </w: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tcBorders>
              <w:bottom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5832C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odpowiedzialności cywilnej</w:t>
            </w: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5832C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Pozostałe klauzule dodatkowe</w:t>
            </w: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tcBorders>
              <w:top w:val="single" w:sz="6" w:space="0" w:color="000000"/>
            </w:tcBorders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B23D55" w:rsidRPr="00B23D55" w:rsidTr="00AA6D3F">
        <w:trPr>
          <w:cantSplit/>
          <w:trHeight w:val="340"/>
          <w:jc w:val="center"/>
        </w:trPr>
        <w:tc>
          <w:tcPr>
            <w:tcW w:w="4355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645" w:type="pct"/>
            <w:shd w:val="clear" w:color="auto" w:fill="auto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:rsidR="00B23D55" w:rsidRPr="00B23D55" w:rsidRDefault="00B23D55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</w:p>
    <w:p w:rsidR="00B23D55" w:rsidRPr="00B23D55" w:rsidRDefault="00B23D55" w:rsidP="00954ACA">
      <w:pPr>
        <w:widowControl w:val="0"/>
        <w:tabs>
          <w:tab w:val="left" w:pos="567"/>
        </w:tabs>
        <w:suppressAutoHyphens w:val="0"/>
        <w:snapToGrid w:val="0"/>
        <w:rPr>
          <w:rFonts w:ascii="Cambria" w:hAnsi="Cambria"/>
          <w:sz w:val="22"/>
          <w:szCs w:val="22"/>
          <w:lang w:eastAsia="pl-PL"/>
        </w:rPr>
      </w:pPr>
    </w:p>
    <w:p w:rsidR="00912A05" w:rsidRPr="00912A05" w:rsidRDefault="00912A05" w:rsidP="00912A05">
      <w:pPr>
        <w:widowControl w:val="0"/>
        <w:spacing w:before="12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Jest: </w:t>
      </w:r>
    </w:p>
    <w:p w:rsidR="00D46D76" w:rsidRPr="00B23D55" w:rsidRDefault="00D46D76" w:rsidP="00D46D76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853"/>
        <w:gridCol w:w="1171"/>
      </w:tblGrid>
      <w:tr w:rsidR="00D46D76" w:rsidRPr="00B23D55" w:rsidTr="00D46D76">
        <w:trPr>
          <w:cantSplit/>
          <w:trHeight w:val="654"/>
          <w:jc w:val="center"/>
        </w:trPr>
        <w:tc>
          <w:tcPr>
            <w:tcW w:w="435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bookmarkStart w:id="3" w:name="_Hlk18230264"/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 xml:space="preserve">Klauzule dodatkowe i inne postanowienia szczególne fakultatywne, </w:t>
            </w:r>
          </w:p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dotyczące części I zamówienia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Akceptacja</w:t>
            </w: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mienia od wszystkich ryzyk</w:t>
            </w: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przezornej sumy ubezpieczenia – 5 punktów</w:t>
            </w:r>
          </w:p>
        </w:tc>
        <w:tc>
          <w:tcPr>
            <w:tcW w:w="649" w:type="pct"/>
            <w:tcBorders>
              <w:top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kosztów alarmu – 3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aktów terroryzmu – 3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wyrównania sumy ubezpieczenia – 2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pokrycia kosztów naprawy uszkodzeń powstałych w mieniu otaczającym – 2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zmiany lokalizacji odbudowy – 3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Zwiększenie do kwoty 10 000 000,00 zł </w:t>
            </w:r>
            <w:proofErr w:type="spellStart"/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bezskładkowego</w:t>
            </w:r>
            <w:proofErr w:type="spellEnd"/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limitu w klauzuli automatycznego pokrycia – 6 punktów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Przyjęcie podanej klauzuli ubezpieczenia mienia wyłączonego z eksploatacji – 5 punktów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Zniesienie franszyzy integralnej – 5 punktów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sprzętu elektronicznego od wszystkich ryzyk</w:t>
            </w: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Zwiększenie do kwoty 1 000 000,00 zł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bezskładkowego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limitu w klauzuli automatycznego pokrycia – 5 punktów</w:t>
            </w:r>
          </w:p>
        </w:tc>
        <w:tc>
          <w:tcPr>
            <w:tcW w:w="649" w:type="pct"/>
            <w:tcBorders>
              <w:top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Przyjęcie podanej klauzuli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cyber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risk</w:t>
            </w:r>
            <w:proofErr w:type="spellEnd"/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 xml:space="preserve"> – 7 punktów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Cambria" w:hAnsi="Cambria"/>
                <w:lang w:eastAsia="pl-PL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pl-PL"/>
              </w:rPr>
              <w:t>Zniesienie udziału własnego – 5 punktów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Ubezpieczenie odpowiedzialności cywilnej</w:t>
            </w: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Zwiększenie obligatoryjnego limitu odpowiedzialności w ubezpieczeniu czystych strat finansowych (m.in. w związku z wydaniem lub niewydaniem decyzji administracyjnych lub aktów normatywnych) z 300 000,00 zł do 600 000,00 zł na jeden i wszystkie wypadki ubezpieczeniowe – 4 punkty</w:t>
            </w:r>
          </w:p>
        </w:tc>
        <w:tc>
          <w:tcPr>
            <w:tcW w:w="649" w:type="pct"/>
            <w:tcBorders>
              <w:top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5832CE" w:rsidRPr="005832CE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lastRenderedPageBreak/>
              <w:t xml:space="preserve">Zwiększenie obligatoryjnego limitu odpowiedzialności dla klauzuli reprezentantów </w:t>
            </w:r>
          </w:p>
          <w:p w:rsidR="005832CE" w:rsidRPr="005832CE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w ubezpieczeniu OC z 300 000,00 zł do 500 000,00 zł na jeden </w:t>
            </w:r>
          </w:p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i wszystkie wypadki ubezpieczeniowe – 4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 xml:space="preserve">Objęcie ochroną ubezpieczeniową w zakresie klauzuli reprezentantów w </w:t>
            </w:r>
            <w:r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ubezpieczeniu</w:t>
            </w: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 xml:space="preserve"> OC - do limitu w wysokości 300 000,00 zł na jeden i wszystkie wypadki ubezpieczeniowe – również reprezentantów ubezpieczającego/ubezpieczonego – 4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Przyjęcie podanej klauzuli 168 godzin – 4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5832CE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5832CE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Zniesienie franszyzy integralnej w szkodach rzeczowych – 4 punkty</w:t>
            </w:r>
          </w:p>
        </w:tc>
        <w:tc>
          <w:tcPr>
            <w:tcW w:w="649" w:type="pct"/>
            <w:shd w:val="clear" w:color="auto" w:fill="auto"/>
          </w:tcPr>
          <w:p w:rsidR="005832CE" w:rsidRPr="00B23D55" w:rsidRDefault="005832CE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46D76" w:rsidRPr="00B23D55" w:rsidRDefault="00D46D76" w:rsidP="00D46D76">
            <w:pPr>
              <w:widowControl w:val="0"/>
              <w:suppressAutoHyphens w:val="0"/>
              <w:jc w:val="center"/>
              <w:rPr>
                <w:rFonts w:ascii="Cambria" w:hAnsi="Cambria"/>
                <w:spacing w:val="-4"/>
                <w:lang w:eastAsia="pl-PL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pl-PL"/>
              </w:rPr>
              <w:t>Pozostałe klauzule dodatkowe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Przyjęcie podanej klauzuli funduszu prewencyjnego – 3 punkty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D46D76">
            <w:pPr>
              <w:widowControl w:val="0"/>
              <w:tabs>
                <w:tab w:val="left" w:pos="567"/>
              </w:tabs>
              <w:suppressAutoHyphens w:val="0"/>
              <w:snapToGrid w:val="0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Przyjęcie podanej klauzuli szkód powstałych wskutek powolnego oddziaływania – 4 punkty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46D76" w:rsidRPr="00B23D55" w:rsidRDefault="00D46D76" w:rsidP="00D46D76">
            <w:pPr>
              <w:widowControl w:val="0"/>
              <w:tabs>
                <w:tab w:val="left" w:pos="567"/>
              </w:tabs>
              <w:suppressAutoHyphens w:val="0"/>
              <w:snapToGrid w:val="0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4"/>
                <w:lang w:eastAsia="pl-PL"/>
              </w:rPr>
            </w:pPr>
            <w:r w:rsidRPr="005832CE">
              <w:rPr>
                <w:rFonts w:ascii="Cambria" w:hAnsi="Cambria"/>
                <w:spacing w:val="-4"/>
                <w:sz w:val="22"/>
                <w:szCs w:val="22"/>
                <w:lang w:eastAsia="pl-PL"/>
              </w:rPr>
              <w:t>Zwiększenie limitu w ryzyku katastrofy budowlanej do kwoty 8 000 000,00 zł (limit wspólny w ubezpieczeniu mienia i sprzętu elektronicznego od wszystkich ryzyk) – 6 punktów</w:t>
            </w:r>
          </w:p>
        </w:tc>
        <w:tc>
          <w:tcPr>
            <w:tcW w:w="649" w:type="pct"/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5832CE" w:rsidRPr="005832CE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Przyjęcie podanej klauzuli automatycznego pokrycia konsumpcji sumy ubezpieczenia </w:t>
            </w:r>
          </w:p>
          <w:p w:rsidR="00D46D76" w:rsidRPr="00B23D55" w:rsidRDefault="005832CE" w:rsidP="005832CE">
            <w:pPr>
              <w:widowControl w:val="0"/>
              <w:suppressAutoHyphens w:val="0"/>
              <w:jc w:val="both"/>
              <w:rPr>
                <w:rFonts w:ascii="Cambria" w:eastAsia="Calibri" w:hAnsi="Cambria"/>
                <w:spacing w:val="-4"/>
                <w:lang w:eastAsia="en-US"/>
              </w:rPr>
            </w:pP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>ubezpieczeniu</w:t>
            </w:r>
            <w:r w:rsidRPr="005832CE">
              <w:rPr>
                <w:rFonts w:ascii="Cambria" w:eastAsia="Calibri" w:hAnsi="Cambria"/>
                <w:spacing w:val="-4"/>
                <w:sz w:val="22"/>
                <w:szCs w:val="22"/>
                <w:lang w:eastAsia="en-US"/>
              </w:rPr>
              <w:t xml:space="preserve"> mienia systemem pierwszego ryzyka – 3 punkty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D46D76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hAnsi="Cambria"/>
                <w:lang w:eastAsia="en-US"/>
              </w:rPr>
            </w:pPr>
            <w:r w:rsidRPr="005832CE">
              <w:rPr>
                <w:rFonts w:ascii="Cambria" w:hAnsi="Cambria"/>
                <w:sz w:val="22"/>
                <w:szCs w:val="22"/>
                <w:lang w:eastAsia="en-US"/>
              </w:rPr>
              <w:t>Przyjęcie podanej klauzuli uznania okoliczności – 3 punkty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hAnsi="Cambria"/>
                <w:lang w:eastAsia="en-US"/>
              </w:rPr>
            </w:pPr>
          </w:p>
        </w:tc>
      </w:tr>
      <w:tr w:rsidR="00D46D76" w:rsidRPr="00B23D55" w:rsidTr="005832CE">
        <w:trPr>
          <w:cantSplit/>
          <w:trHeight w:val="340"/>
          <w:jc w:val="center"/>
        </w:trPr>
        <w:tc>
          <w:tcPr>
            <w:tcW w:w="4351" w:type="pct"/>
            <w:shd w:val="clear" w:color="auto" w:fill="auto"/>
            <w:vAlign w:val="center"/>
          </w:tcPr>
          <w:p w:rsidR="00D46D76" w:rsidRPr="00B23D55" w:rsidRDefault="005832CE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zmiany wielkości ryzyka – 5 punktów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hAnsi="Cambria"/>
                <w:lang w:eastAsia="en-US"/>
              </w:rPr>
            </w:pPr>
          </w:p>
        </w:tc>
      </w:tr>
      <w:tr w:rsidR="005832CE" w:rsidRPr="00B23D55" w:rsidTr="00D46D76">
        <w:trPr>
          <w:cantSplit/>
          <w:trHeight w:val="340"/>
          <w:jc w:val="center"/>
        </w:trPr>
        <w:tc>
          <w:tcPr>
            <w:tcW w:w="435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32CE" w:rsidRPr="00B23D55" w:rsidRDefault="005832CE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eastAsia="Calibri" w:hAnsi="Cambria"/>
                <w:lang w:eastAsia="en-US"/>
              </w:rPr>
            </w:pPr>
            <w:r w:rsidRPr="005832CE">
              <w:rPr>
                <w:rFonts w:ascii="Cambria" w:eastAsia="Calibri" w:hAnsi="Cambria"/>
                <w:sz w:val="22"/>
                <w:szCs w:val="22"/>
                <w:lang w:eastAsia="en-US"/>
              </w:rPr>
              <w:t>Przyjęcie podanej klauzuli wypłaty bezspornej części odszkodowania – 5 punktów</w:t>
            </w:r>
          </w:p>
        </w:tc>
        <w:tc>
          <w:tcPr>
            <w:tcW w:w="64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32CE" w:rsidRPr="00B23D55" w:rsidRDefault="005832CE" w:rsidP="005832CE">
            <w:pPr>
              <w:widowControl w:val="0"/>
              <w:tabs>
                <w:tab w:val="left" w:pos="1134"/>
              </w:tabs>
              <w:suppressAutoHyphens w:val="0"/>
              <w:jc w:val="both"/>
              <w:rPr>
                <w:rFonts w:ascii="Cambria" w:hAnsi="Cambria"/>
                <w:lang w:eastAsia="en-US"/>
              </w:rPr>
            </w:pPr>
          </w:p>
        </w:tc>
      </w:tr>
      <w:bookmarkEnd w:id="3"/>
    </w:tbl>
    <w:p w:rsidR="00D46D76" w:rsidRDefault="00D46D76" w:rsidP="00D46D76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:rsidR="00B23D55" w:rsidRPr="00255619" w:rsidRDefault="00255619" w:rsidP="00255619">
      <w:pPr>
        <w:pStyle w:val="Akapitzlist"/>
        <w:widowControl w:val="0"/>
        <w:numPr>
          <w:ilvl w:val="0"/>
          <w:numId w:val="1"/>
        </w:numPr>
        <w:suppressAutoHyphens w:val="0"/>
        <w:jc w:val="both"/>
        <w:rPr>
          <w:rFonts w:ascii="Cambria" w:hAnsi="Cambria"/>
          <w:b/>
          <w:lang w:eastAsia="en-US"/>
        </w:rPr>
      </w:pPr>
      <w:r w:rsidRPr="00255619">
        <w:rPr>
          <w:rFonts w:ascii="Cambria" w:hAnsi="Cambria"/>
          <w:b/>
          <w:lang w:eastAsia="en-US"/>
        </w:rPr>
        <w:t xml:space="preserve"> </w:t>
      </w:r>
      <w:r w:rsidR="00B23D55" w:rsidRPr="00255619">
        <w:rPr>
          <w:rFonts w:ascii="Cambria" w:hAnsi="Cambria"/>
          <w:b/>
          <w:lang w:eastAsia="en-US"/>
        </w:rPr>
        <w:t xml:space="preserve">Część II zamówienia - „Ubezpieczenie pojazdów mechanicznych Gminy </w:t>
      </w:r>
      <w:r w:rsidR="005832CE">
        <w:rPr>
          <w:rFonts w:ascii="Cambria" w:hAnsi="Cambria"/>
          <w:b/>
          <w:lang w:eastAsia="en-US"/>
        </w:rPr>
        <w:t>Nidzica</w:t>
      </w:r>
      <w:r w:rsidR="00B23D55" w:rsidRPr="00255619">
        <w:rPr>
          <w:rFonts w:ascii="Cambria" w:hAnsi="Cambria"/>
          <w:b/>
          <w:lang w:eastAsia="en-US"/>
        </w:rPr>
        <w:t>”</w:t>
      </w:r>
    </w:p>
    <w:p w:rsidR="00912A05" w:rsidRPr="00B23D55" w:rsidRDefault="00912A05" w:rsidP="00D46D76">
      <w:pPr>
        <w:widowControl w:val="0"/>
        <w:suppressAutoHyphens w:val="0"/>
        <w:jc w:val="both"/>
        <w:rPr>
          <w:rFonts w:ascii="Cambria" w:hAnsi="Cambria"/>
          <w:sz w:val="22"/>
          <w:szCs w:val="22"/>
        </w:rPr>
      </w:pPr>
    </w:p>
    <w:p w:rsidR="00912A05" w:rsidRPr="00912A05" w:rsidRDefault="00912A05" w:rsidP="00912A05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Było: </w:t>
      </w: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612"/>
        <w:gridCol w:w="1484"/>
      </w:tblGrid>
      <w:tr w:rsidR="00B23D55" w:rsidRPr="00B23D55" w:rsidTr="005832CE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 xml:space="preserve">Klauzule dodatkowe i inne postanowienia szczególne fakultatywne, dotyczące </w:t>
            </w:r>
          </w:p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Akceptacja</w:t>
            </w: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B23D55" w:rsidRPr="00B23D55" w:rsidRDefault="00B23D55" w:rsidP="00B23D55">
      <w:pPr>
        <w:widowControl w:val="0"/>
        <w:suppressAutoHyphens w:val="0"/>
        <w:spacing w:after="240"/>
        <w:rPr>
          <w:rFonts w:ascii="Cambria" w:hAnsi="Cambria"/>
          <w:sz w:val="22"/>
          <w:szCs w:val="22"/>
        </w:rPr>
      </w:pPr>
    </w:p>
    <w:p w:rsidR="00912A05" w:rsidRPr="00912A05" w:rsidRDefault="00912A05" w:rsidP="00912A05">
      <w:pPr>
        <w:widowControl w:val="0"/>
        <w:spacing w:before="12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Jest: </w:t>
      </w:r>
    </w:p>
    <w:p w:rsidR="00D46D76" w:rsidRPr="00B23D55" w:rsidRDefault="00D46D76" w:rsidP="00B23D55">
      <w:pPr>
        <w:widowControl w:val="0"/>
        <w:suppressAutoHyphens w:val="0"/>
        <w:spacing w:after="240"/>
        <w:rPr>
          <w:rFonts w:ascii="Cambria" w:hAnsi="Cambria"/>
          <w:b/>
          <w:bCs/>
          <w:i/>
          <w:sz w:val="22"/>
          <w:szCs w:val="22"/>
          <w:lang w:eastAsia="en-US"/>
        </w:rPr>
      </w:pPr>
      <w:r w:rsidRPr="00B23D55">
        <w:rPr>
          <w:rFonts w:ascii="Cambria" w:hAnsi="Cambria"/>
          <w:b/>
          <w:bCs/>
          <w:sz w:val="22"/>
          <w:szCs w:val="22"/>
        </w:rPr>
        <w:br w:type="page"/>
      </w:r>
    </w:p>
    <w:p w:rsidR="00D46D76" w:rsidRPr="00B23D55" w:rsidRDefault="00D46D76" w:rsidP="00D46D76">
      <w:pPr>
        <w:widowControl w:val="0"/>
        <w:suppressAutoHyphens w:val="0"/>
        <w:spacing w:after="120"/>
        <w:rPr>
          <w:rFonts w:ascii="Cambria" w:hAnsi="Cambria"/>
          <w:sz w:val="22"/>
          <w:szCs w:val="22"/>
          <w:lang w:eastAsia="en-US"/>
        </w:rPr>
      </w:pP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612"/>
        <w:gridCol w:w="1484"/>
      </w:tblGrid>
      <w:tr w:rsidR="00D46D76" w:rsidRPr="00B23D55" w:rsidTr="005832CE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 xml:space="preserve">Klauzule dodatkowe i inne postanowienia szczególne fakultatywne, dotyczące </w:t>
            </w:r>
          </w:p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Akceptacja</w:t>
            </w: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Uznanie za szkodę częściową uszkodzenie ubezpieczonego pojazdu w takim zakresie, że koszt jego naprawy nie przekracza 80% jego wartości rynkowej na dzień ustalania odszkodowania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szkody całkowitej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  <w:spacing w:val="-2"/>
              </w:rPr>
            </w:pP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Przyjęcie odpowiedzialności za szkody z ubezpieczenia auto casco powstałe podczas kierowania pojazdem w stanie nietrzeźwości albo po spożyciu alkoholu, lub pod wpływem środków odurzających, substancji psychotropowych lub środków zastępczych w rozumieniu przepisów o przeciwdziałaniu narkomanii</w:t>
            </w:r>
            <w:r w:rsidR="00F00581"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 xml:space="preserve"> -10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gwarantowanej sumy ubezpieczenia auto casco przez każdy roczny okres ubezpieczenia pojazdów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ubezpieczenia pojazdu niezabezpieczonego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- 20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97"/>
        </w:trPr>
        <w:tc>
          <w:tcPr>
            <w:tcW w:w="418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funduszu prewencyjnego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- 10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D46D76" w:rsidRPr="00B23D55" w:rsidRDefault="00D46D76" w:rsidP="00D46D76">
      <w:pPr>
        <w:widowControl w:val="0"/>
        <w:suppressAutoHyphens w:val="0"/>
        <w:spacing w:before="120"/>
        <w:jc w:val="both"/>
        <w:rPr>
          <w:rFonts w:ascii="Cambria" w:hAnsi="Cambria"/>
          <w:i/>
          <w:sz w:val="22"/>
          <w:szCs w:val="22"/>
          <w:lang w:eastAsia="en-US"/>
        </w:rPr>
      </w:pPr>
    </w:p>
    <w:p w:rsidR="00D46D76" w:rsidRPr="00255619" w:rsidRDefault="00B23D55" w:rsidP="00255619">
      <w:pPr>
        <w:pStyle w:val="Akapitzlist"/>
        <w:widowControl w:val="0"/>
        <w:numPr>
          <w:ilvl w:val="0"/>
          <w:numId w:val="1"/>
        </w:numPr>
        <w:suppressAutoHyphens w:val="0"/>
        <w:spacing w:after="120"/>
        <w:rPr>
          <w:rFonts w:ascii="Cambria" w:hAnsi="Cambria"/>
          <w:i/>
          <w:sz w:val="22"/>
          <w:szCs w:val="22"/>
          <w:lang w:eastAsia="en-US"/>
        </w:rPr>
      </w:pPr>
      <w:r w:rsidRPr="00255619">
        <w:rPr>
          <w:rFonts w:ascii="Cambria" w:hAnsi="Cambria"/>
          <w:b/>
          <w:lang w:eastAsia="en-US"/>
        </w:rPr>
        <w:t>Część III zamówienia - „</w:t>
      </w:r>
      <w:r w:rsidRPr="00255619">
        <w:rPr>
          <w:rFonts w:ascii="Cambria" w:hAnsi="Cambria"/>
          <w:b/>
          <w:bCs/>
          <w:lang w:eastAsia="en-US"/>
        </w:rPr>
        <w:t>Ubezpieczenie następstw nieszczęśliwych wypadków członków Ochotniczyc</w:t>
      </w:r>
      <w:r w:rsidR="005832CE">
        <w:rPr>
          <w:rFonts w:ascii="Cambria" w:hAnsi="Cambria"/>
          <w:b/>
          <w:bCs/>
          <w:lang w:eastAsia="en-US"/>
        </w:rPr>
        <w:t>h Straży Pożarnych Gminy Nidzica</w:t>
      </w:r>
      <w:r w:rsidRPr="00255619">
        <w:rPr>
          <w:rFonts w:ascii="Cambria" w:hAnsi="Cambria"/>
          <w:b/>
          <w:lang w:eastAsia="en-US"/>
        </w:rPr>
        <w:t>”</w:t>
      </w:r>
    </w:p>
    <w:p w:rsidR="00912A05" w:rsidRPr="00912A05" w:rsidRDefault="00912A05" w:rsidP="00912A05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Było: 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795"/>
        <w:gridCol w:w="1341"/>
      </w:tblGrid>
      <w:tr w:rsidR="00B23D55" w:rsidRPr="00B23D55" w:rsidTr="005832CE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Akceptacja</w:t>
            </w:r>
          </w:p>
        </w:tc>
      </w:tr>
      <w:tr w:rsidR="00B23D55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23D55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23D55" w:rsidRPr="00B23D55" w:rsidRDefault="00B23D55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B23D55" w:rsidRPr="00B23D55" w:rsidRDefault="00B23D55" w:rsidP="00B23D55">
      <w:pPr>
        <w:widowControl w:val="0"/>
        <w:suppressAutoHyphens w:val="0"/>
        <w:spacing w:after="120"/>
        <w:rPr>
          <w:rFonts w:ascii="Cambria" w:hAnsi="Cambria"/>
          <w:i/>
          <w:sz w:val="22"/>
          <w:szCs w:val="22"/>
          <w:lang w:eastAsia="en-US"/>
        </w:rPr>
      </w:pPr>
    </w:p>
    <w:p w:rsidR="00912A05" w:rsidRPr="00912A05" w:rsidRDefault="00912A05" w:rsidP="00912A05">
      <w:pPr>
        <w:widowControl w:val="0"/>
        <w:spacing w:before="12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912A05">
        <w:rPr>
          <w:rFonts w:asciiTheme="majorHAnsi" w:eastAsia="Calibri" w:hAnsiTheme="majorHAnsi" w:cs="Arial"/>
          <w:b/>
          <w:bCs/>
          <w:u w:val="single"/>
        </w:rPr>
        <w:t xml:space="preserve">Jest: </w:t>
      </w:r>
    </w:p>
    <w:tbl>
      <w:tblPr>
        <w:tblW w:w="4959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795"/>
        <w:gridCol w:w="1341"/>
      </w:tblGrid>
      <w:tr w:rsidR="00D46D76" w:rsidRPr="00B23D55" w:rsidTr="005832CE">
        <w:trPr>
          <w:cantSplit/>
          <w:trHeight w:val="459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Klauzule dodatkowe i inne postanowienia szczególne fakultatywne, dotyczące części III zamówienia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</w:rPr>
              <w:t>Akceptacja</w:t>
            </w:r>
          </w:p>
        </w:tc>
      </w:tr>
      <w:tr w:rsidR="00D46D76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bookmarkStart w:id="4" w:name="_Hlk80623763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Objęcie </w:t>
            </w:r>
            <w:proofErr w:type="spellStart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bezskładkowym</w:t>
            </w:r>
            <w:proofErr w:type="spellEnd"/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ubezpieczeniem 5 nowych członków Ochotniczej Straży Pożarnej w każdym rocznym okresie ubezpieczenia</w:t>
            </w:r>
            <w:bookmarkEnd w:id="4"/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25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  <w:lang w:eastAsia="en-US"/>
              </w:rPr>
            </w:pPr>
            <w:r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Zwiększenie świadczenia dodatkowego z tytułu pobytu ubezpieczonego w szpitalu, będącego następstwem nieszczęśliwego wypadku objętego zakresem i umową ubezpieczenia do kwoty 100,00 zł za każdy dzień pobytu</w:t>
            </w:r>
            <w:r w:rsidR="00F00581"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 xml:space="preserve"> 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Wypłata jednorazowego świadczenia w przypadku braku trwałego uszczerbku na zdrowiu w wysokości 5% sumy ubezpieczenia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="00F00581" w:rsidRPr="00B23D55">
              <w:rPr>
                <w:rFonts w:ascii="Cambria" w:hAnsi="Cambria"/>
                <w:spacing w:val="-4"/>
                <w:sz w:val="22"/>
                <w:szCs w:val="22"/>
                <w:lang w:eastAsia="en-US"/>
              </w:rPr>
              <w:t>20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D46D76" w:rsidRPr="00B23D55" w:rsidTr="005832CE">
        <w:trPr>
          <w:cantSplit/>
          <w:trHeight w:val="340"/>
        </w:trPr>
        <w:tc>
          <w:tcPr>
            <w:tcW w:w="4266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suppressAutoHyphens w:val="0"/>
              <w:jc w:val="both"/>
              <w:rPr>
                <w:rFonts w:ascii="Cambria" w:hAnsi="Cambria"/>
              </w:rPr>
            </w:pPr>
            <w:r w:rsidRPr="00B23D55">
              <w:rPr>
                <w:rFonts w:ascii="Cambria" w:hAnsi="Cambria"/>
                <w:sz w:val="22"/>
                <w:szCs w:val="22"/>
                <w:lang w:eastAsia="en-US"/>
              </w:rPr>
              <w:t>Przyjęcie podanej klauzuli funduszu prewencyjnego</w:t>
            </w:r>
            <w:r w:rsidR="00F00581" w:rsidRPr="00B23D55">
              <w:rPr>
                <w:rFonts w:ascii="Cambria" w:hAnsi="Cambria"/>
                <w:sz w:val="22"/>
                <w:szCs w:val="22"/>
                <w:lang w:eastAsia="en-US"/>
              </w:rPr>
              <w:t xml:space="preserve"> 10 punktów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46D76" w:rsidRPr="00B23D55" w:rsidRDefault="00D46D76" w:rsidP="005832CE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7B4991" w:rsidRPr="00B23D55" w:rsidRDefault="007B4991">
      <w:pPr>
        <w:rPr>
          <w:rFonts w:ascii="Cambria" w:hAnsi="Cambria"/>
          <w:sz w:val="22"/>
          <w:szCs w:val="22"/>
        </w:rPr>
      </w:pPr>
    </w:p>
    <w:p w:rsidR="00912A05" w:rsidRDefault="00912A05" w:rsidP="00A04675">
      <w:pPr>
        <w:widowControl w:val="0"/>
        <w:spacing w:before="240" w:after="120" w:line="120" w:lineRule="atLeast"/>
        <w:jc w:val="both"/>
        <w:rPr>
          <w:rFonts w:ascii="Cambria" w:hAnsi="Cambria" w:cs="Arial"/>
          <w:sz w:val="22"/>
          <w:szCs w:val="22"/>
        </w:rPr>
      </w:pPr>
    </w:p>
    <w:p w:rsidR="00A04675" w:rsidRDefault="00A04675" w:rsidP="00A04675">
      <w:pPr>
        <w:widowControl w:val="0"/>
        <w:spacing w:before="240" w:after="120" w:line="120" w:lineRule="atLeast"/>
        <w:jc w:val="both"/>
        <w:rPr>
          <w:rFonts w:ascii="Cambria" w:eastAsia="Calibri" w:hAnsi="Cambria" w:cs="Arial"/>
          <w:sz w:val="22"/>
          <w:szCs w:val="22"/>
        </w:rPr>
      </w:pPr>
      <w:r w:rsidRPr="00B23D55">
        <w:rPr>
          <w:rFonts w:ascii="Cambria" w:eastAsia="Calibri" w:hAnsi="Cambria" w:cs="Arial"/>
          <w:sz w:val="22"/>
          <w:szCs w:val="22"/>
        </w:rPr>
        <w:lastRenderedPageBreak/>
        <w:t>Zmiana treści SWZ jest wiążąca dla wszystkich wykonawców</w:t>
      </w:r>
      <w:r w:rsidR="00954ACA" w:rsidRPr="00B23D55">
        <w:rPr>
          <w:rFonts w:ascii="Cambria" w:eastAsia="Calibri" w:hAnsi="Cambria" w:cs="Arial"/>
          <w:sz w:val="22"/>
          <w:szCs w:val="22"/>
        </w:rPr>
        <w:t>.</w:t>
      </w:r>
    </w:p>
    <w:p w:rsidR="00A04675" w:rsidRPr="00B23D55" w:rsidRDefault="00A04675" w:rsidP="00F33647">
      <w:pPr>
        <w:jc w:val="both"/>
        <w:rPr>
          <w:rFonts w:ascii="Cambria" w:hAnsi="Cambria" w:cs="Arial"/>
          <w:color w:val="C00000"/>
          <w:sz w:val="22"/>
          <w:szCs w:val="22"/>
        </w:rPr>
      </w:pPr>
    </w:p>
    <w:p w:rsidR="00F33647" w:rsidRPr="00B23D55" w:rsidRDefault="00F33647">
      <w:pPr>
        <w:rPr>
          <w:rFonts w:ascii="Cambria" w:hAnsi="Cambria"/>
          <w:sz w:val="22"/>
          <w:szCs w:val="22"/>
        </w:rPr>
      </w:pPr>
    </w:p>
    <w:p w:rsidR="005832CE" w:rsidRPr="00B716AF" w:rsidRDefault="00B716AF" w:rsidP="00B716AF">
      <w:pPr>
        <w:widowControl w:val="0"/>
        <w:spacing w:before="120"/>
        <w:jc w:val="right"/>
        <w:rPr>
          <w:rFonts w:ascii="Cambria" w:hAnsi="Cambria"/>
          <w:i/>
          <w:sz w:val="22"/>
          <w:szCs w:val="22"/>
        </w:rPr>
      </w:pPr>
      <w:r w:rsidRPr="00B716AF">
        <w:rPr>
          <w:rFonts w:ascii="Cambria" w:hAnsi="Cambria"/>
          <w:i/>
          <w:sz w:val="22"/>
          <w:szCs w:val="22"/>
        </w:rPr>
        <w:t>Burmistrz Nidzicy</w:t>
      </w:r>
    </w:p>
    <w:p w:rsidR="00B716AF" w:rsidRPr="00B716AF" w:rsidRDefault="00B716AF" w:rsidP="00B716AF">
      <w:pPr>
        <w:widowControl w:val="0"/>
        <w:spacing w:before="120"/>
        <w:jc w:val="right"/>
        <w:rPr>
          <w:rFonts w:ascii="Cambria" w:hAnsi="Cambria" w:cstheme="minorHAnsi"/>
          <w:i/>
          <w:spacing w:val="-4"/>
          <w:sz w:val="22"/>
          <w:szCs w:val="22"/>
        </w:rPr>
      </w:pPr>
      <w:r w:rsidRPr="00B716AF">
        <w:rPr>
          <w:rFonts w:ascii="Cambria" w:hAnsi="Cambria"/>
          <w:i/>
          <w:sz w:val="22"/>
          <w:szCs w:val="22"/>
        </w:rPr>
        <w:t>Jacek Kosmala</w:t>
      </w:r>
    </w:p>
    <w:p w:rsidR="003617CE" w:rsidRDefault="003617CE" w:rsidP="003617CE">
      <w:pPr>
        <w:widowControl w:val="0"/>
        <w:spacing w:before="240" w:after="120" w:line="12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Załączniki: </w:t>
      </w:r>
    </w:p>
    <w:p w:rsidR="003617CE" w:rsidRDefault="003617CE" w:rsidP="003617CE">
      <w:pPr>
        <w:widowControl w:val="0"/>
        <w:spacing w:before="240" w:after="120" w:line="120" w:lineRule="atLeast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hAnsi="Cambria" w:cs="Arial"/>
        </w:rPr>
        <w:t>Zmodyfikowany z</w:t>
      </w:r>
      <w:r w:rsidRPr="00CE3710">
        <w:rPr>
          <w:rFonts w:ascii="Cambria" w:hAnsi="Cambria" w:cs="Arial"/>
        </w:rPr>
        <w:t>ałącznik nr 2: Formularz „Oferta” w wersji edytowalnej</w:t>
      </w:r>
      <w:r w:rsidRPr="00B23D55">
        <w:rPr>
          <w:rFonts w:ascii="Cambria" w:eastAsia="Calibri" w:hAnsi="Cambria" w:cs="Arial"/>
          <w:sz w:val="22"/>
          <w:szCs w:val="22"/>
        </w:rPr>
        <w:t xml:space="preserve"> </w:t>
      </w:r>
    </w:p>
    <w:p w:rsidR="00F33647" w:rsidRPr="00B23D55" w:rsidRDefault="00F33647">
      <w:pPr>
        <w:rPr>
          <w:rFonts w:ascii="Cambria" w:hAnsi="Cambria"/>
          <w:sz w:val="22"/>
          <w:szCs w:val="22"/>
        </w:rPr>
      </w:pPr>
    </w:p>
    <w:sectPr w:rsidR="00F33647" w:rsidRPr="00B23D55" w:rsidSect="00AC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EBA"/>
    <w:rsid w:val="00097D65"/>
    <w:rsid w:val="00255619"/>
    <w:rsid w:val="003617CE"/>
    <w:rsid w:val="003822CC"/>
    <w:rsid w:val="003B416D"/>
    <w:rsid w:val="005832CE"/>
    <w:rsid w:val="005B2C4E"/>
    <w:rsid w:val="007B4991"/>
    <w:rsid w:val="008D57E9"/>
    <w:rsid w:val="00912A05"/>
    <w:rsid w:val="00954ACA"/>
    <w:rsid w:val="00994EBA"/>
    <w:rsid w:val="00A04675"/>
    <w:rsid w:val="00AA6D3F"/>
    <w:rsid w:val="00AC786A"/>
    <w:rsid w:val="00B23D55"/>
    <w:rsid w:val="00B716AF"/>
    <w:rsid w:val="00BA5768"/>
    <w:rsid w:val="00D46D76"/>
    <w:rsid w:val="00D54344"/>
    <w:rsid w:val="00DE1453"/>
    <w:rsid w:val="00E82A09"/>
    <w:rsid w:val="00E948DB"/>
    <w:rsid w:val="00F00581"/>
    <w:rsid w:val="00F33647"/>
    <w:rsid w:val="00F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D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aliases w:val="L1,Numerowanie,Akapit z listą5,Obiekt,BulletC,Wyliczanie,Akapit z listą31,normalny tekst,Punktor11 Wiener"/>
    <w:basedOn w:val="Normalny"/>
    <w:uiPriority w:val="34"/>
    <w:qFormat/>
    <w:rsid w:val="00F00581"/>
    <w:pPr>
      <w:ind w:left="708"/>
    </w:pPr>
  </w:style>
  <w:style w:type="paragraph" w:customStyle="1" w:styleId="Styl1-dopisek-od-lewej">
    <w:name w:val="Styl1-dopisek-od-lewej"/>
    <w:basedOn w:val="Normalny"/>
    <w:uiPriority w:val="99"/>
    <w:rsid w:val="003B416D"/>
    <w:pPr>
      <w:spacing w:line="100" w:lineRule="atLeast"/>
      <w:jc w:val="both"/>
    </w:pPr>
    <w:rPr>
      <w:rFonts w:ascii="Calibri" w:hAnsi="Calibri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6D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aliases w:val="L1,Numerowanie,Akapit z listą5,Obiekt,BulletC,Wyliczanie,Akapit z listą31,normalny tekst,Punktor11 Wiener"/>
    <w:basedOn w:val="Normalny"/>
    <w:uiPriority w:val="34"/>
    <w:qFormat/>
    <w:rsid w:val="00F00581"/>
    <w:pPr>
      <w:ind w:left="708"/>
    </w:pPr>
  </w:style>
  <w:style w:type="paragraph" w:customStyle="1" w:styleId="Styl1-dopisek-od-lewej">
    <w:name w:val="Styl1-dopisek-od-lewej"/>
    <w:basedOn w:val="Normalny"/>
    <w:uiPriority w:val="99"/>
    <w:rsid w:val="003B416D"/>
    <w:pPr>
      <w:spacing w:line="100" w:lineRule="atLeast"/>
      <w:jc w:val="both"/>
    </w:pPr>
    <w:rPr>
      <w:rFonts w:ascii="Calibri" w:hAnsi="Calibri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Fajfer</dc:creator>
  <cp:keywords/>
  <dc:description/>
  <cp:lastModifiedBy>anro</cp:lastModifiedBy>
  <cp:revision>15</cp:revision>
  <cp:lastPrinted>2021-12-07T13:29:00Z</cp:lastPrinted>
  <dcterms:created xsi:type="dcterms:W3CDTF">2021-09-10T07:00:00Z</dcterms:created>
  <dcterms:modified xsi:type="dcterms:W3CDTF">2021-12-07T13:30:00Z</dcterms:modified>
</cp:coreProperties>
</file>